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Knowledge Transfer Document</w:t>
      </w:r>
    </w:p>
    <w:p>
      <w:pPr>
        <w:pStyle w:val="Heading1"/>
      </w:pPr>
      <w:r>
        <w:rPr>
          <w:color w:val="2E74B5"/>
        </w:rPr>
        <w:t>Transfer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System / Process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Outgoing Owner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Incoming Owner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Transfer Completion Date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System / Process Overview</w:t>
      </w:r>
    </w:p>
    <w:p>
      <w:pPr>
        <w:pStyle w:val="ListBullet"/>
      </w:pPr>
      <w:r>
        <w:t>System Configuration: [Server: , DB: , Middleware: ]</w:t>
      </w:r>
    </w:p>
    <w:p>
      <w:pPr>
        <w:pStyle w:val="ListBullet"/>
      </w:pPr>
      <w:r>
        <w:t>Main Process Flow: [Description]</w:t>
      </w:r>
    </w:p>
    <w:p/>
    <w:p>
      <w:pPr>
        <w:pStyle w:val="Heading1"/>
      </w:pPr>
      <w:r>
        <w:rPr>
          <w:color w:val="2E74B5"/>
        </w:rPr>
        <w:t>Procedures &amp; Runbooks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Timing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Steps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Reference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[System startup procedure]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Daily at [time]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[Step]  2. [Step]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[Incident response procedure]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On incident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1. [Step]  2. [Step]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Contacts &amp; Escalation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Scope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Primary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Backup Owner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Vendor Contact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Escalation Contact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Known Issues &amp;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/ Note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 / Condition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 / Workaround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Outgoing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Incoming Owner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Manager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