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Risk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Risk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102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 ID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Probability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Score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Response Action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24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020"/>
          </w:tcPr>
          <w:p>
            <w:r>
              <w:rPr>
                <w:sz w:val="20"/>
              </w:rPr>
              <w:t>R-001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Schedule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[X] may be delayed, potentially impacting the delivery date.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 (3)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 (3)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Mitigate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Add [X]-week buffer to [milestone].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247"/>
          </w:tcPr>
          <w:p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1020"/>
            <w:shd w:val="clear" w:color="auto" w:fill="DEEAF1"/>
          </w:tcPr>
          <w:p>
            <w:r>
              <w:rPr>
                <w:sz w:val="20"/>
              </w:rPr>
              <w:t>R-002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Cost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Cost overrun of [X]% is possible due to [reason].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 (2)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High (3)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Mitigate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Review cost actuals weekly.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247"/>
            <w:shd w:val="clear" w:color="auto" w:fill="DEEAF1"/>
          </w:tcPr>
          <w:p>
            <w:r>
              <w:rPr>
                <w:sz w:val="20"/>
              </w:rPr>
              <w:t>In Progress</w:t>
            </w:r>
          </w:p>
        </w:tc>
      </w:tr>
      <w:tr>
        <w:tc>
          <w:tcPr>
            <w:tcW w:type="dxa" w:w="1020"/>
          </w:tcPr>
          <w:p>
            <w:r>
              <w:rPr>
                <w:sz w:val="20"/>
              </w:rPr>
              <w:t>R-003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Technical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[System] may not meet requirements due to [constraint].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Low (1)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 (3)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Accept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If triggered, adopt alternative approach [X].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247"/>
          </w:tcPr>
          <w:p>
            <w:r>
              <w:rPr>
                <w:sz w:val="20"/>
              </w:rPr>
              <w:t>Open</w:t>
            </w:r>
          </w:p>
        </w:tc>
      </w:tr>
    </w:tbl>
    <w:p/>
    <w:p>
      <w:pPr>
        <w:pStyle w:val="Heading1"/>
      </w:pPr>
      <w:r>
        <w:rPr>
          <w:color w:val="2E74B5"/>
        </w:rPr>
        <w:t>Probability &amp; Impact Scale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Probability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High (3)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≥ 70%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Significant impact on the overall project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Medium (2)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30–70%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Impact on some features or the schedule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Low (1)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&lt; 30%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Minor or localized impact</w:t>
            </w:r>
          </w:p>
        </w:tc>
      </w:tr>
    </w:tbl>
    <w:p/>
    <w:p>
      <w:pPr>
        <w:pStyle w:val="Heading1"/>
      </w:pPr>
      <w:r>
        <w:rPr>
          <w:color w:val="2E74B5"/>
        </w:rPr>
        <w:t>Response Strategy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Avoid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Eliminate the root cause to remove the risk entirely.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Transfer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Shift the risk to a third party (vendor, insurance, etc.).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Mitigate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Take action to reduce probability or impact.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Accept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Tolerate the risk and prepare a contingency plan.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