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リスク管理表（Risk Register）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803"/>
          </w:tcPr>
          <w:p>
            <w:r>
              <w:t>〇〇プロジェクト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>
              <w:t>〇〇（役割：〇〇）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最終更新日</w:t>
            </w:r>
          </w:p>
        </w:tc>
        <w:tc>
          <w:tcPr>
            <w:tcW w:type="dxa" w:w="6803"/>
          </w:tcPr>
          <w:p>
            <w:r>
              <w:t>20XX年〇月〇日</w:t>
            </w:r>
          </w:p>
        </w:tc>
      </w:tr>
    </w:tbl>
    <w:p/>
    <w:p>
      <w:pPr>
        <w:pStyle w:val="Heading1"/>
      </w:pPr>
      <w:r>
        <w:rPr>
          <w:color w:val="2E74B5"/>
        </w:rPr>
        <w:t>リスク管理表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102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リスクID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カテゴリ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リスクの説明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発生確率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影響度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スコア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対応戦略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対応内容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  <w:tc>
          <w:tcPr>
            <w:tcW w:type="dxa" w:w="124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ステータス</w:t>
            </w:r>
          </w:p>
        </w:tc>
      </w:tr>
      <w:tr>
        <w:tc>
          <w:tcPr>
            <w:tcW w:type="dxa" w:w="1020"/>
          </w:tcPr>
          <w:p>
            <w:r>
              <w:rPr>
                <w:sz w:val="20"/>
              </w:rPr>
              <w:t>R-001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スケジュール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〇〇の遅延により納期に影響する可能性がある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高（3）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高（3）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9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軽減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〇〇のバッファを〇週間追加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247"/>
          </w:tcPr>
          <w:p>
            <w:r>
              <w:rPr>
                <w:sz w:val="20"/>
              </w:rPr>
              <w:t>オープン</w:t>
            </w:r>
          </w:p>
        </w:tc>
      </w:tr>
      <w:tr>
        <w:tc>
          <w:tcPr>
            <w:tcW w:type="dxa" w:w="1020"/>
            <w:shd w:val="clear" w:color="auto" w:fill="DEEAF1"/>
          </w:tcPr>
          <w:p>
            <w:r>
              <w:rPr>
                <w:sz w:val="20"/>
              </w:rPr>
              <w:t>R-002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コスト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〇〇の見積もりが超過するリスクがある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中（2）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高（3）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軽減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週次でコスト実績を確認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247"/>
            <w:shd w:val="clear" w:color="auto" w:fill="DEEAF1"/>
          </w:tcPr>
          <w:p>
            <w:r>
              <w:rPr>
                <w:sz w:val="20"/>
              </w:rPr>
              <w:t>対応中</w:t>
            </w:r>
          </w:p>
        </w:tc>
      </w:tr>
      <w:tr>
        <w:tc>
          <w:tcPr>
            <w:tcW w:type="dxa" w:w="1020"/>
          </w:tcPr>
          <w:p>
            <w:r>
              <w:rPr>
                <w:sz w:val="20"/>
              </w:rPr>
              <w:t>R-003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技術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〇〇の制約により要件を満たせないリスクがある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低（1）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高（3）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受容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発生時は代替案〇〇を採用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247"/>
          </w:tcPr>
          <w:p>
            <w:r>
              <w:rPr>
                <w:sz w:val="20"/>
              </w:rPr>
              <w:t>オープン</w:t>
            </w:r>
          </w:p>
        </w:tc>
      </w:tr>
    </w:tbl>
    <w:p/>
    <w:p>
      <w:pPr>
        <w:pStyle w:val="Heading1"/>
      </w:pPr>
      <w:r>
        <w:rPr>
          <w:color w:val="2E74B5"/>
        </w:rPr>
        <w:t>発生確率・影響度の評価基準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レベル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発生確率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影響度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高（3）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70%以上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プロジェクト全体に重大な影響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中（2）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30〜70%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一部の機能・スケジュールに影響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低（1）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30%未満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影響は軽微・局所的</w:t>
            </w:r>
          </w:p>
        </w:tc>
      </w:tr>
    </w:tbl>
    <w:p/>
    <w:p>
      <w:pPr>
        <w:pStyle w:val="Heading1"/>
      </w:pPr>
      <w:r>
        <w:rPr>
          <w:color w:val="2E74B5"/>
        </w:rPr>
        <w:t>対応戦略の種類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戦略</w:t>
            </w:r>
          </w:p>
        </w:tc>
        <w:tc>
          <w:tcPr>
            <w:tcW w:type="dxa" w:w="737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説明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回避（Avoid）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リスクの原因を排除してリスク自体をなくす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転嫁（Transfer）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リスクをベンダーや保険など第三者に移転する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軽減（Mitigate）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発生確率または影響度を下げる対策を取る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受容（Accept）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リスクを許容しコンティンジェンシー計画を用意する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