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サービスレベル合意書（SLA）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サービス名</w:t>
            </w:r>
          </w:p>
        </w:tc>
        <w:tc>
          <w:tcPr>
            <w:tcW w:type="dxa" w:w="6803"/>
          </w:tcPr>
          <w:p>
            <w:r>
              <w:t>（サービス名）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提供者</w:t>
            </w:r>
          </w:p>
        </w:tc>
        <w:tc>
          <w:tcPr>
            <w:tcW w:type="dxa" w:w="6803"/>
          </w:tcPr>
          <w:p>
            <w:r>
              <w:t>（提供者名）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利用者</w:t>
            </w:r>
          </w:p>
        </w:tc>
        <w:tc>
          <w:tcPr>
            <w:tcW w:type="dxa" w:w="6803"/>
          </w:tcPr>
          <w:p>
            <w:r>
              <w:t>（利用者名）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有効期間</w:t>
            </w:r>
          </w:p>
        </w:tc>
        <w:tc>
          <w:tcPr>
            <w:tcW w:type="dxa" w:w="6803"/>
          </w:tcPr>
          <w:p>
            <w:r>
              <w:t>（開始日）〜（終了日）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（作成日）</w:t>
            </w:r>
          </w:p>
        </w:tc>
      </w:tr>
    </w:tbl>
    <w:p/>
    <w:p>
      <w:pPr>
        <w:pStyle w:val="Heading1"/>
      </w:pPr>
      <w:r>
        <w:rPr>
          <w:color w:val="2E74B5"/>
        </w:rPr>
        <w:t>サービス定義</w:t>
      </w:r>
    </w:p>
    <w:p>
      <w:pPr>
        <w:pStyle w:val="ListBullet"/>
      </w:pPr>
      <w:r>
        <w:rPr>
          <w:sz w:val="20"/>
        </w:rPr>
        <w:t>対象サービス：（サービスの概要・スコープ）</w:t>
      </w:r>
    </w:p>
    <w:p>
      <w:pPr>
        <w:pStyle w:val="ListBullet"/>
      </w:pPr>
      <w:r>
        <w:rPr>
          <w:sz w:val="20"/>
        </w:rPr>
        <w:t>対象システム：（システム名）</w:t>
      </w:r>
    </w:p>
    <w:p>
      <w:pPr>
        <w:pStyle w:val="ListBullet"/>
      </w:pPr>
      <w:r>
        <w:rPr>
          <w:sz w:val="20"/>
        </w:rPr>
        <w:t>対象外：（明示的に除外するサービス・システム）</w:t>
      </w:r>
    </w:p>
    <w:p/>
    <w:p>
      <w:pPr>
        <w:pStyle w:val="Heading1"/>
      </w:pPr>
      <w:r>
        <w:rPr>
          <w:color w:val="2E74B5"/>
        </w:rPr>
        <w:t>可用性・稼働率目標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指標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目標値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計測期間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計算方法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稼働率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99.9%以上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月次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（稼働時間÷契約時間）×100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計画メンテナンス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月4時間以内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月次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事前通知（7日前）必須</w:t>
            </w:r>
          </w:p>
        </w:tc>
      </w:tr>
    </w:tbl>
    <w:p/>
    <w:p>
      <w:pPr>
        <w:pStyle w:val="Heading1"/>
      </w:pPr>
      <w:r>
        <w:rPr>
          <w:color w:val="2E74B5"/>
        </w:rPr>
        <w:t>応答時間・復旧目標（RTO / RPO）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初回応答時間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復旧目標時間（RTO）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目標復旧時点（RPO）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30分以内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4時間以内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1時間以内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2時間以内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8時間以内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4時間以内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翌営業日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3営業日以内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24時間以内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3営業日以内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5営業日以内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対応時点</w:t>
            </w:r>
          </w:p>
        </w:tc>
      </w:tr>
    </w:tbl>
    <w:p/>
    <w:p>
      <w:pPr>
        <w:pStyle w:val="Heading1"/>
      </w:pPr>
      <w:r>
        <w:rPr>
          <w:color w:val="2E74B5"/>
        </w:rPr>
        <w:t>インシデント優先度定義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例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サービス全停止・売上直接影響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決済機能停止・DB障害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主要機能の部分停止・回避策なし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ログイン不可・API障害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機能は動作するが著しく劣化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応答遅延・一部機能エラー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軽微な不具合・業務影響なし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表示崩れ・誤字</w:t>
            </w:r>
          </w:p>
        </w:tc>
      </w:tr>
    </w:tbl>
    <w:p/>
    <w:p>
      <w:pPr>
        <w:pStyle w:val="Heading1"/>
      </w:pPr>
      <w:r>
        <w:rPr>
          <w:color w:val="2E74B5"/>
        </w:rPr>
        <w:t>ペナルティ・サービスクレジット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稼働率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クレジット（月額費用の%）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99.0〜99.9%未満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10%</w:t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95.0〜99.0%未満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25%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95.0%未満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50%</w:t>
            </w:r>
          </w:p>
        </w:tc>
      </w:tr>
    </w:tbl>
    <w:p>
      <w:r>
        <w:t>※クレジットの上限は月額費用の50%とする。除外条項に該当する場合は適用外。</w:t>
      </w:r>
    </w:p>
    <w:p/>
    <w:p>
      <w:pPr>
        <w:pStyle w:val="Heading1"/>
      </w:pPr>
      <w:r>
        <w:rPr>
          <w:color w:val="2E74B5"/>
        </w:rPr>
        <w:t>レビュー・改定サイクル</w:t>
      </w:r>
    </w:p>
    <w:p>
      <w:pPr>
        <w:pStyle w:val="ListBullet"/>
      </w:pPr>
      <w:r>
        <w:rPr>
          <w:sz w:val="20"/>
        </w:rPr>
        <w:t>定期レビュー：四半期ごと</w:t>
      </w:r>
    </w:p>
    <w:p>
      <w:pPr>
        <w:pStyle w:val="ListBullet"/>
      </w:pPr>
      <w:r>
        <w:rPr>
          <w:sz w:val="20"/>
        </w:rPr>
        <w:t>改定手続き：変更30日前に書面で通知し、双方合意のうえ改定</w:t>
      </w:r>
    </w:p>
    <w:p>
      <w:pPr>
        <w:pStyle w:val="ListBullet"/>
      </w:pPr>
      <w:r>
        <w:rPr>
          <w:sz w:val="20"/>
        </w:rPr>
        <w:t>緊急改定：重大なシステム変更が発生した場合は随時協議</w:t>
      </w:r>
    </w:p>
    <w:p/>
    <w:p>
      <w:pPr>
        <w:pStyle w:val="Heading1"/>
      </w:pPr>
      <w:r>
        <w:rPr>
          <w:color w:val="2E74B5"/>
        </w:rPr>
        <w:t>除外条項</w:t>
      </w:r>
    </w:p>
    <w:p>
      <w:pPr>
        <w:pStyle w:val="ListBullet"/>
      </w:pPr>
      <w:r>
        <w:rPr>
          <w:sz w:val="20"/>
        </w:rPr>
        <w:t>天災・自然災害・不可抗力による障害</w:t>
      </w:r>
    </w:p>
    <w:p>
      <w:pPr>
        <w:pStyle w:val="ListBullet"/>
      </w:pPr>
      <w:r>
        <w:rPr>
          <w:sz w:val="20"/>
        </w:rPr>
        <w:t>利用者側のシステム・ネットワーク障害</w:t>
      </w:r>
    </w:p>
    <w:p>
      <w:pPr>
        <w:pStyle w:val="ListBullet"/>
      </w:pPr>
      <w:r>
        <w:rPr>
          <w:sz w:val="20"/>
        </w:rPr>
        <w:t>第三者サービス（CDN・外部API等）の障害</w:t>
      </w:r>
    </w:p>
    <w:p>
      <w:pPr>
        <w:pStyle w:val="ListBullet"/>
      </w:pPr>
      <w:r>
        <w:rPr>
          <w:sz w:val="20"/>
        </w:rPr>
        <w:t>事前通知済みの計画メンテナンス</w:t>
      </w:r>
    </w:p>
    <w:p>
      <w:pPr>
        <w:pStyle w:val="ListBullet"/>
      </w:pPr>
      <w:r>
        <w:rPr>
          <w:sz w:val="20"/>
        </w:rPr>
        <w:t>利用者の操作ミス・設定誤りに起因する障害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