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 Level Agreement (SLA)</w:t>
      </w:r>
    </w:p>
    <w:p>
      <w:r>
        <w:t>Service: E-Commerce Cloud Infrastructure Operations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Service Name</w:t>
            </w:r>
          </w:p>
        </w:tc>
        <w:tc>
          <w:tcPr>
            <w:tcW w:type="dxa" w:w="6803"/>
          </w:tcPr>
          <w:p>
            <w:r>
              <w:t>E-Commerce Cloud Infrastructure Operations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Provider</w:t>
            </w:r>
          </w:p>
        </w:tc>
        <w:tc>
          <w:tcPr>
            <w:tcW w:type="dxa" w:w="6803"/>
          </w:tcPr>
          <w:p>
            <w:r>
              <w:t>Cloud Services Co., Ltd.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Customer</w:t>
            </w:r>
          </w:p>
        </w:tc>
        <w:tc>
          <w:tcPr>
            <w:tcW w:type="dxa" w:w="6803"/>
          </w:tcPr>
          <w:p>
            <w:r>
              <w:t>E-Commerce Operations Co., Ltd.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Effective Period</w:t>
            </w:r>
          </w:p>
        </w:tc>
        <w:tc>
          <w:tcPr>
            <w:tcW w:type="dxa" w:w="6803"/>
          </w:tcPr>
          <w:p>
            <w:r>
              <w:t>October 1, 2025 – September 30,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September 15, 2025</w:t>
            </w:r>
          </w:p>
        </w:tc>
      </w:tr>
    </w:tbl>
    <w:p/>
    <w:p>
      <w:pPr>
        <w:pStyle w:val="Heading1"/>
      </w:pPr>
      <w:r>
        <w:rPr>
          <w:color w:val="2E74B5"/>
        </w:rPr>
        <w:t>Service Definition</w:t>
      </w:r>
    </w:p>
    <w:p>
      <w:pPr>
        <w:pStyle w:val="ListBullet"/>
      </w:pPr>
      <w:r>
        <w:rPr>
          <w:sz w:val="20"/>
        </w:rPr>
        <w:t>Covered Services: Monitoring, operations, and incident response for the production cloud infrastructure (AWS)</w:t>
      </w:r>
    </w:p>
    <w:p>
      <w:pPr>
        <w:pStyle w:val="ListBullet"/>
      </w:pPr>
      <w:r>
        <w:rPr>
          <w:sz w:val="20"/>
        </w:rPr>
        <w:t>Covered Systems: Web servers, DB servers, CDN, and load balancers</w:t>
      </w:r>
    </w:p>
    <w:p>
      <w:pPr>
        <w:pStyle w:val="ListBullet"/>
      </w:pPr>
      <w:r>
        <w:rPr>
          <w:sz w:val="20"/>
        </w:rPr>
        <w:t>Exclusions: Application code fixes, security assessments, and data migration</w:t>
      </w:r>
    </w:p>
    <w:p/>
    <w:p>
      <w:pPr>
        <w:pStyle w:val="Heading1"/>
      </w:pPr>
      <w:r>
        <w:rPr>
          <w:color w:val="2E74B5"/>
        </w:rPr>
        <w:t>Availability Target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Measurement Period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Calculation Method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Uptime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99.9% or above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(Uptime ÷ 720 hours) × 100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Planned Maintenance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Up to 2 hours/month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7-day advance notice via Slack</w:t>
            </w:r>
          </w:p>
        </w:tc>
      </w:tr>
    </w:tbl>
    <w:p/>
    <w:p>
      <w:pPr>
        <w:pStyle w:val="Heading1"/>
      </w:pPr>
      <w:r>
        <w:rPr>
          <w:color w:val="2E74B5"/>
        </w:rPr>
        <w:t>Response Time &amp; Recovery Targets (RTO / RPO)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Initial Response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RTO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RPO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Within 15 min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2 hours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Within 30 min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Within 1 hour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4 hours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Within 2 hours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Next business day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3 business days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Within 24 hours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Within 3 business days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5 business days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At time of resolution</w:t>
            </w:r>
          </w:p>
        </w:tc>
      </w:tr>
    </w:tbl>
    <w:p/>
    <w:p>
      <w:pPr>
        <w:pStyle w:val="Heading1"/>
      </w:pPr>
      <w:r>
        <w:rPr>
          <w:color w:val="2E74B5"/>
        </w:rPr>
        <w:t>Incident Priority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Full site outage; payment failure; direct revenue impact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Web server down, DB connection failure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Key feature unavailable; no workaround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Cart error, login failure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Feature degraded but operational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Response over 5 sec, images not loading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Minor issue; no business impact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Admin UI layout issue</w:t>
            </w:r>
          </w:p>
        </w:tc>
      </w:tr>
    </w:tbl>
    <w:p/>
    <w:p>
      <w:pPr>
        <w:pStyle w:val="Heading1"/>
      </w:pPr>
      <w:r>
        <w:rPr>
          <w:color w:val="2E74B5"/>
        </w:rPr>
        <w:t>Penalties &amp; Service Credits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Uptime Achieved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Credit (% of Monthly Fee)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99.0% – below 99.9%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95.0% – below 99.0%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Below 95.0%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50%</w:t>
            </w:r>
          </w:p>
        </w:tc>
      </w:tr>
    </w:tbl>
    <w:p>
      <w:r>
        <w:t>Credits are capped at 50% of the monthly fee. Credits do not apply if the outage falls under the Exclusions clause.</w:t>
      </w:r>
    </w:p>
    <w:p/>
    <w:p>
      <w:pPr>
        <w:pStyle w:val="Heading1"/>
      </w:pPr>
      <w:r>
        <w:rPr>
          <w:color w:val="2E74B5"/>
        </w:rPr>
        <w:t>Review &amp; Revision</w:t>
      </w:r>
    </w:p>
    <w:p>
      <w:pPr>
        <w:pStyle w:val="ListBullet"/>
      </w:pPr>
      <w:r>
        <w:rPr>
          <w:sz w:val="20"/>
        </w:rPr>
        <w:t>Scheduled Review: Quarterly (January, April, July, October)</w:t>
      </w:r>
    </w:p>
    <w:p>
      <w:pPr>
        <w:pStyle w:val="ListBullet"/>
      </w:pPr>
      <w:r>
        <w:rPr>
          <w:sz w:val="20"/>
        </w:rPr>
        <w:t>Revision Process: Written notice 30 days in advance; effective upon mutual agreement</w:t>
      </w:r>
    </w:p>
    <w:p>
      <w:pPr>
        <w:pStyle w:val="ListBullet"/>
      </w:pPr>
      <w:r>
        <w:rPr>
          <w:sz w:val="20"/>
        </w:rPr>
        <w:t>Emergency Revision: Ad hoc discussion in the event of major infrastructure changes</w:t>
      </w:r>
    </w:p>
    <w:p/>
    <w:p>
      <w:pPr>
        <w:pStyle w:val="Heading1"/>
      </w:pPr>
      <w:r>
        <w:rPr>
          <w:color w:val="2E74B5"/>
        </w:rPr>
        <w:t>Exclusions</w:t>
      </w:r>
    </w:p>
    <w:p>
      <w:pPr>
        <w:pStyle w:val="ListBullet"/>
      </w:pPr>
      <w:r>
        <w:rPr>
          <w:sz w:val="20"/>
        </w:rPr>
        <w:t>Natural disasters, acts of God, or force majeure (earthquakes, floods, etc.)</w:t>
      </w:r>
    </w:p>
    <w:p>
      <w:pPr>
        <w:pStyle w:val="ListBullet"/>
      </w:pPr>
      <w:r>
        <w:rPr>
          <w:sz w:val="20"/>
        </w:rPr>
        <w:t>Failures in the Customer's network or end-user devices</w:t>
      </w:r>
    </w:p>
    <w:p>
      <w:pPr>
        <w:pStyle w:val="ListBullet"/>
      </w:pPr>
      <w:r>
        <w:rPr>
          <w:sz w:val="20"/>
        </w:rPr>
        <w:t>Outages in third-party services (AWS, CloudFront, etc.)</w:t>
      </w:r>
    </w:p>
    <w:p>
      <w:pPr>
        <w:pStyle w:val="ListBullet"/>
      </w:pPr>
      <w:r>
        <w:rPr>
          <w:sz w:val="20"/>
        </w:rPr>
        <w:t>Pre-announced planned maintenance windows</w:t>
      </w:r>
    </w:p>
    <w:p>
      <w:pPr>
        <w:pStyle w:val="ListBullet"/>
      </w:pPr>
      <w:r>
        <w:rPr>
          <w:sz w:val="20"/>
        </w:rPr>
        <w:t>Incidents caused by Customer configuration changes or deployment operations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