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テスト結果報告書（Test Results Report）</w:t>
      </w:r>
    </w:p>
    <w:p>
      <w:pPr>
        <w:pStyle w:val="Heading1"/>
      </w:pPr>
      <w:r>
        <w:rPr>
          <w:color w:val="2E74B5"/>
        </w:rPr>
        <w:t>テスト概要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236"/>
          </w:tcPr>
          <w:p>
            <w:r>
              <w:t>受注管理システム刷新プロジェクト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テストフェーズ</w:t>
            </w:r>
          </w:p>
        </w:tc>
        <w:tc>
          <w:tcPr>
            <w:tcW w:type="dxa" w:w="6236"/>
          </w:tcPr>
          <w:p>
            <w:r>
              <w:t>UAT（ユーザー受け入れテスト）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テスト期間</w:t>
            </w:r>
          </w:p>
        </w:tc>
        <w:tc>
          <w:tcPr>
            <w:tcW w:type="dxa" w:w="6236"/>
          </w:tcPr>
          <w:p>
            <w:r>
              <w:t>2025年10月20日 〜 11月14日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テスト責任者</w:t>
            </w:r>
          </w:p>
        </w:tc>
        <w:tc>
          <w:tcPr>
            <w:tcW w:type="dxa" w:w="6236"/>
          </w:tcPr>
          <w:p>
            <w:r>
              <w:t>田中 太郎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>
              <w:t>2025年11月15日</w:t>
            </w:r>
          </w:p>
        </w:tc>
      </w:tr>
    </w:tbl>
    <w:p/>
    <w:p>
      <w:pPr>
        <w:pStyle w:val="Heading1"/>
      </w:pPr>
      <w:r>
        <w:rPr>
          <w:color w:val="2E74B5"/>
        </w:rPr>
        <w:t>テスト範囲</w:t>
      </w:r>
    </w:p>
    <w:p>
      <w:pPr>
        <w:pStyle w:val="ListBullet"/>
      </w:pPr>
      <w:r>
        <w:t>対象システム・モジュール：受注登録・検索・ステータス更新・CSV出力・メール通知機能</w:t>
      </w:r>
    </w:p>
    <w:p>
      <w:pPr>
        <w:pStyle w:val="ListBullet"/>
      </w:pPr>
      <w:r>
        <w:t>テスト対象外：管理者設定画面・外部連携API（次フェーズで実施）</w:t>
      </w:r>
    </w:p>
    <w:p/>
    <w:p>
      <w:pPr>
        <w:pStyle w:val="Heading1"/>
      </w:pPr>
      <w:r>
        <w:rPr>
          <w:color w:val="2E74B5"/>
        </w:rPr>
        <w:t>テスト結果サマリー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件数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計画テストケース数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200</w:t>
            </w:r>
          </w:p>
        </w:tc>
      </w:tr>
      <w:tr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実施テストケース数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198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合格（Pass）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196</w:t>
            </w:r>
          </w:p>
        </w:tc>
      </w:tr>
      <w:tr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不合格（Fail）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未実施（Not Executed）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2</w:t>
            </w:r>
          </w:p>
        </w:tc>
      </w:tr>
      <w:tr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合格率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98.0%</w:t>
            </w:r>
          </w:p>
        </w:tc>
      </w:tr>
    </w:tbl>
    <w:p/>
    <w:p>
      <w:pPr>
        <w:pStyle w:val="Heading1"/>
      </w:pPr>
      <w:r>
        <w:rPr>
          <w:color w:val="2E74B5"/>
        </w:rPr>
        <w:t>欠陥・バグ一覧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バグID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重要度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概要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修正担当者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修正予定日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BUG-089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受注IDをクリックすると詳細画面が白紙になる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修正済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佐藤 花子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2025/11/10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BUG-094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CSV出力ファイルの文字コードが一部崩れる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修正済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鈴木 一郎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2025/11/12</w:t>
            </w:r>
          </w:p>
        </w:tc>
      </w:tr>
    </w:tbl>
    <w:p/>
    <w:p>
      <w:pPr>
        <w:pStyle w:val="Heading1"/>
      </w:pPr>
      <w:r>
        <w:rPr>
          <w:color w:val="2E74B5"/>
        </w:rPr>
        <w:t>未解決の問題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問題ID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対応方針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対応期限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KI-011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IE11環境で一括更新ボタンが表示されない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Chrome/Edgeを推奨ブラウザとして案内。IE11対応はv2.4.0で対応予定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2026年3月</w:t>
            </w:r>
          </w:p>
        </w:tc>
      </w:tr>
    </w:tbl>
    <w:p/>
    <w:p>
      <w:pPr>
        <w:pStyle w:val="Heading1"/>
      </w:pPr>
      <w:r>
        <w:rPr>
          <w:color w:val="2E74B5"/>
        </w:rPr>
        <w:t>サインオフ・承認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サイン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日付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テスト責任者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田中 太郎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田中 太郎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2025/11/15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プロジェクトマネージャー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山田 次郎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山田 次郎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2025/11/16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クライアント代表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〇〇株式会社 佐藤 部長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