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Backlog Refinement</w:t>
      </w:r>
    </w:p>
    <w:p>
      <w:pPr>
        <w:pStyle w:val="Heading1"/>
      </w:pPr>
      <w:r>
        <w:rPr>
          <w:color w:val="2E74B5"/>
        </w:rPr>
        <w:t>Item Detail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Ticket ID</w:t>
            </w:r>
          </w:p>
        </w:tc>
        <w:tc>
          <w:tcPr>
            <w:tcW w:type="dxa" w:w="6236"/>
          </w:tcPr>
          <w:p>
            <w:r>
              <w:t>(e.g., PAY-110)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Title</w:t>
            </w:r>
          </w:p>
        </w:tc>
        <w:tc>
          <w:tcPr>
            <w:tcW w:type="dxa" w:w="6236"/>
          </w:tcPr>
          <w:p>
            <w:r>
              <w:t>(e.g., Add Apple Pay support to checkout flow)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User Story</w:t>
            </w:r>
          </w:p>
        </w:tc>
        <w:tc>
          <w:tcPr>
            <w:tcW w:type="dxa" w:w="6236"/>
          </w:tcPr>
          <w:p>
            <w:r>
              <w:t>(e.g., As a mobile user, I want to pay with Apple Pay so that I can skip entering my card number manually.)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Business Context</w:t>
            </w:r>
          </w:p>
        </w:tc>
        <w:tc>
          <w:tcPr>
            <w:tcW w:type="dxa" w:w="6236"/>
          </w:tcPr>
          <w:p>
            <w:r>
              <w:t>(e.g., Mobile checkout drop-off rate is 12%. Apple Pay is estimated to reduce drop-off by 3–5%.)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Scope</w:t>
            </w:r>
          </w:p>
        </w:tc>
        <w:tc>
          <w:tcPr>
            <w:tcW w:type="dxa" w:w="6236"/>
          </w:tcPr>
          <w:p>
            <w:r>
              <w:t>(e.g., Apple Pay must work on Safari and Chrome on iOS. Android is out of scope.)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Out of Scope</w:t>
            </w:r>
          </w:p>
        </w:tc>
        <w:tc>
          <w:tcPr>
            <w:tcW w:type="dxa" w:w="6236"/>
          </w:tcPr>
          <w:p>
            <w:r>
              <w:t>(e.g., Google Pay and LINE Pay support split into PAY-111 and PAY-112.)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Dependencies</w:t>
            </w:r>
          </w:p>
        </w:tc>
        <w:tc>
          <w:tcPr>
            <w:tcW w:type="dxa" w:w="6236"/>
          </w:tcPr>
          <w:p>
            <w:r>
              <w:t>(e.g., Requires Apple Pay API key from the payment provider (PAY-108).)</w:t>
            </w:r>
          </w:p>
        </w:tc>
      </w:tr>
    </w:tbl>
    <w:p/>
    <w:p>
      <w:pPr>
        <w:pStyle w:val="Heading1"/>
      </w:pPr>
      <w:r>
        <w:rPr>
          <w:color w:val="2E74B5"/>
        </w:rPr>
        <w:t>Acceptance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Acceptance Criteria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(e.g., The Apple Pay button is displayed on Safari and Chrome on iOS devices.)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(e.g., Completing a payment with Apple Pay redirects the user to the order confirmation screen.)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(e.g., An appropriate error message is shown when Apple Pay payment fails.)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(e.g., Apple Pay payment success and failure events are recorded in server logs.)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(e.g., The Apple Pay button is hidden on Android and unsupported browsers.)</w:t>
            </w:r>
          </w:p>
        </w:tc>
      </w:tr>
    </w:tbl>
    <w:p/>
    <w:p>
      <w:pPr>
        <w:pStyle w:val="Heading1"/>
      </w:pPr>
      <w:r>
        <w:rPr>
          <w:color w:val="2E74B5"/>
        </w:rPr>
        <w:t>Estimation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Story Points</w:t>
            </w:r>
          </w:p>
        </w:tc>
        <w:tc>
          <w:tcPr>
            <w:tcW w:type="dxa" w:w="6236"/>
          </w:tcPr>
          <w:p>
            <w:r>
              <w:t>(e.g., 13)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Rationale</w:t>
            </w:r>
          </w:p>
        </w:tc>
        <w:tc>
          <w:tcPr>
            <w:tcW w:type="dxa" w:w="6236"/>
          </w:tcPr>
          <w:p>
            <w:r>
              <w:t>(e.g., Apple Pay JS API integration: 5–7 days. E2E test creation: 2–3 days.)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Uncertainty</w:t>
            </w:r>
          </w:p>
        </w:tc>
        <w:tc>
          <w:tcPr>
            <w:tcW w:type="dxa" w:w="6236"/>
          </w:tcPr>
          <w:p>
            <w:r>
              <w:t>(e.g., Payment provider API specs unconfirmed; may increase by +5 pts if non-standard.)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Split Option</w:t>
            </w:r>
          </w:p>
        </w:tc>
        <w:tc>
          <w:tcPr>
            <w:tcW w:type="dxa" w:w="6236"/>
          </w:tcPr>
          <w:p>
            <w:r>
              <w:t>(e.g., Can be split into Safari support and Chrome support.)</w:t>
            </w:r>
          </w:p>
        </w:tc>
      </w:tr>
    </w:tbl>
    <w:p/>
    <w:p>
      <w:pPr>
        <w:pStyle w:val="Heading1"/>
      </w:pPr>
      <w:r>
        <w:rPr>
          <w:color w:val="2E74B5"/>
        </w:rPr>
        <w:t>Prioritization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Priority</w:t>
            </w:r>
          </w:p>
        </w:tc>
        <w:tc>
          <w:tcPr>
            <w:tcW w:type="dxa" w:w="6236"/>
          </w:tcPr>
          <w:p>
            <w:r>
              <w:t>(e.g., High)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Rationale</w:t>
            </w:r>
          </w:p>
        </w:tc>
        <w:tc>
          <w:tcPr>
            <w:tcW w:type="dxa" w:w="6236"/>
          </w:tcPr>
          <w:p>
            <w:r>
              <w:t>(e.g., Reducing mobile checkout drop-off is a key KPI this quarter.)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Sprint</w:t>
            </w:r>
          </w:p>
        </w:tc>
        <w:tc>
          <w:tcPr>
            <w:tcW w:type="dxa" w:w="6236"/>
          </w:tcPr>
          <w:p>
            <w:r>
              <w:t>(e.g., Sprint 44 (after PAY-108 dependency is resolved))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Stakeholder Approval</w:t>
            </w:r>
          </w:p>
        </w:tc>
        <w:tc>
          <w:tcPr>
            <w:tcW w:type="dxa" w:w="6236"/>
          </w:tcPr>
          <w:p>
            <w:r>
              <w:t>(e.g., PM Yamada approved as High priority.)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