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コーディング規約（Coding Standards）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（例：〇〇システム開発プロジェクト）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対象言語</w:t>
            </w:r>
          </w:p>
        </w:tc>
        <w:tc>
          <w:tcPr>
            <w:tcW w:type="dxa" w:w="6803"/>
          </w:tcPr>
          <w:p>
            <w:r>
              <w:t>（例：TypeScript / Python / Go）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（名前・役職）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全般ルール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ルール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理由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1ファイル1責務を原則とする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単一責任原則に従い、変更の影響範囲を限定するため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1関数は50行以内を目安にする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可読性と単体テストのしやすさを確保するため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マジックナンバーは定数に定義する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コードの意図を明確にし、変更を一元管理するため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エラーは必ず明示的にハンドリングする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サイレントエラーによる予期せぬ動作を防ぐため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不要なコメントアウトはコミット前に削除する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コードの可読性を保ち、混乱を避けるため</w:t>
            </w:r>
          </w:p>
        </w:tc>
      </w:tr>
    </w:tbl>
    <w:p/>
    <w:p>
      <w:pPr>
        <w:pStyle w:val="Heading1"/>
      </w:pPr>
      <w:r>
        <w:rPr>
          <w:color w:val="2E74B5"/>
        </w:rPr>
        <w:t>命名規則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対象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規則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変数名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キャメルケース（camelCase）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userId, orderCount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定数名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大文字スネークケース（UPPER_SNAKE_CASE）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MAX_RETRY_COUNT, API_BASE_URL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関数名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動詞で始めるキャメルケース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getUserById(), calculateTotal()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クラス名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パスカルケース（PascalCase）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UserService, OrderRepository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ファイル名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ケバブケース（kebab-case）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user-service.ts, order-utils.py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インターフェース名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先頭にIをつけない（TypeScript）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UserRepository（IUserRepositoryは不可）</w:t>
            </w:r>
          </w:p>
        </w:tc>
      </w:tr>
    </w:tbl>
    <w:p/>
    <w:p>
      <w:pPr>
        <w:pStyle w:val="Heading1"/>
      </w:pPr>
      <w:r>
        <w:rPr>
          <w:color w:val="2E74B5"/>
        </w:rPr>
        <w:t>フォーマット・スタイル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設定値</w:t>
            </w:r>
          </w:p>
        </w:tc>
        <w:tc>
          <w:tcPr>
            <w:tcW w:type="dxa" w:w="481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インデント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スペース2つ（または4つ）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タブ禁止。プロジェクトで統一すること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1行の最大文字数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120文字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長い場合は適切に改行する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文字コード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UTF-8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BOMなし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改行コード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LF（Unix形式）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CRLFは使用禁止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末尾の空白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禁止</w:t>
            </w:r>
          </w:p>
        </w:tc>
        <w:tc>
          <w:tcPr>
            <w:tcW w:type="dxa" w:w="4819"/>
          </w:tcPr>
          <w:p>
            <w:r>
              <w:rPr>
                <w:sz w:val="20"/>
              </w:rPr>
              <w:t>エディタの自動削除設定を推奨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import文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グループ分けして並べる</w:t>
            </w:r>
          </w:p>
        </w:tc>
        <w:tc>
          <w:tcPr>
            <w:tcW w:type="dxa" w:w="4819"/>
            <w:shd w:val="clear" w:color="auto" w:fill="DEEAF1"/>
          </w:tcPr>
          <w:p>
            <w:r>
              <w:rPr>
                <w:sz w:val="20"/>
              </w:rPr>
              <w:t>外部ライブラリ→内部モジュール→型定義の順</w:t>
            </w:r>
          </w:p>
        </w:tc>
      </w:tr>
    </w:tbl>
    <w:p/>
    <w:p>
      <w:pPr>
        <w:pStyle w:val="Heading1"/>
      </w:pPr>
      <w:r>
        <w:rPr>
          <w:color w:val="2E74B5"/>
        </w:rPr>
        <w:t>コメント・ドキュメンテーション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対象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ルール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関数・メソッド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JSDoc / docstringで引数・戻り値・例外を記述する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複雑なロジック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「何をしているか」ではなく「なぜそうしているか」をコメントする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TODO / FIXME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TODO: [担当者名] 内容 の形式で記述する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公開API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すべてのpublic関数にドキュメントを必須とする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自明なコード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コメント不要。コードが自己説明的になるよう命名を工夫する</w:t>
            </w:r>
          </w:p>
        </w:tc>
      </w:tr>
    </w:tbl>
    <w:p/>
    <w:p>
      <w:pPr>
        <w:pStyle w:val="Heading1"/>
      </w:pPr>
      <w:r>
        <w:rPr>
          <w:color w:val="2E74B5"/>
        </w:rPr>
        <w:t>レビュー・適用ルール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適用開始日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YYYY-MM-DD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適用対象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すべての新規コード。既存コードはリファクタリング時に随時適用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自動チェック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ESLint / PylintをCIに組み込み、PRマージ前にチェックを必須とする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コードレビュー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レビュアーはこの規約への準拠を確認する。違反はコメントで指摘する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例外処理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業務上やむを得ない場合は、該当箇所に理由をコメントし、TLの承認を得る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規約の更新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チームの合意のうえ更新し、変更履歴に記録する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