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デザインレビュードキュメント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ドキュメントタイトル</w:t>
            </w:r>
          </w:p>
        </w:tc>
        <w:tc>
          <w:tcPr>
            <w:tcW w:type="dxa" w:w="6803"/>
          </w:tcPr>
          <w:p>
            <w:r>
              <w:t>（例：決済サービス 非同期処理アーキテクチャ設計レビュー）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（例：田中）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レビュー期限</w:t>
            </w:r>
          </w:p>
        </w:tc>
        <w:tc>
          <w:tcPr>
            <w:tcW w:type="dxa" w:w="6803"/>
          </w:tcPr>
          <w:p>
            <w:r>
              <w:t>（例：2026年8月15日）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（例：レビュー中 / 承認済み / 却下）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関連ADR</w:t>
            </w:r>
          </w:p>
        </w:tc>
        <w:tc>
          <w:tcPr>
            <w:tcW w:type="dxa" w:w="6803"/>
          </w:tcPr>
          <w:p>
            <w:r>
              <w:t>（例：ADR-042 決済非同期化）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関連チケット</w:t>
            </w:r>
          </w:p>
        </w:tc>
        <w:tc>
          <w:tcPr>
            <w:tcW w:type="dxa" w:w="6803"/>
          </w:tcPr>
          <w:p>
            <w:r>
              <w:t>（例：PAY-1234）</w:t>
            </w:r>
          </w:p>
        </w:tc>
      </w:tr>
    </w:tbl>
    <w:p/>
    <w:p>
      <w:pPr>
        <w:pStyle w:val="Heading1"/>
      </w:pPr>
      <w:r>
        <w:rPr>
          <w:color w:val="2E74B5"/>
        </w:rPr>
        <w:t>背景・課題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現状</w:t>
            </w:r>
          </w:p>
        </w:tc>
        <w:tc>
          <w:tcPr>
            <w:tcW w:type="dxa" w:w="6803"/>
          </w:tcPr>
          <w:p>
            <w:r>
              <w:t>（例：決済処理がすべて同期APIで実装されており、タイムアウト障害が月3〜5件発生している）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課題</w:t>
            </w:r>
          </w:p>
        </w:tc>
        <w:tc>
          <w:tcPr>
            <w:tcW w:type="dxa" w:w="6803"/>
          </w:tcPr>
          <w:p>
            <w:r>
              <w:t>（例：外部決済ゲートウェイのレスポンスが遅延した場合、ユーザーに5秒以上の待機が発生する）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解決したいこと</w:t>
            </w:r>
          </w:p>
        </w:tc>
        <w:tc>
          <w:tcPr>
            <w:tcW w:type="dxa" w:w="6803"/>
          </w:tcPr>
          <w:p>
            <w:r>
              <w:t>（例：決済処理の非同期化によりタイムアウト障害をゼロにし、ユーザー体験を改善する）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影響範囲</w:t>
            </w:r>
          </w:p>
        </w:tc>
        <w:tc>
          <w:tcPr>
            <w:tcW w:type="dxa" w:w="6803"/>
          </w:tcPr>
          <w:p>
            <w:r>
              <w:t>（例：決済API・注文サービス・通知サービス）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制約</w:t>
            </w:r>
          </w:p>
        </w:tc>
        <w:tc>
          <w:tcPr>
            <w:tcW w:type="dxa" w:w="6803"/>
          </w:tcPr>
          <w:p>
            <w:r>
              <w:t>（例：既存APIの後方互換性を維持すること。データの二重処理を防ぐこと）</w:t>
            </w:r>
          </w:p>
        </w:tc>
      </w:tr>
    </w:tbl>
    <w:p/>
    <w:p>
      <w:pPr>
        <w:pStyle w:val="Heading1"/>
      </w:pPr>
      <w:r>
        <w:rPr>
          <w:color w:val="2E74B5"/>
        </w:rPr>
        <w:t>提案する設計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設計概要</w:t>
            </w:r>
          </w:p>
        </w:tc>
        <w:tc>
          <w:tcPr>
            <w:tcW w:type="dxa" w:w="6803"/>
          </w:tcPr>
          <w:p>
            <w:r>
              <w:t>（例：決済リクエストをSQSキューに投入し、Lambdaワーカーが非同期に処理する構成に変更する）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主要コンポーネント</w:t>
            </w:r>
          </w:p>
        </w:tc>
        <w:tc>
          <w:tcPr>
            <w:tcW w:type="dxa" w:w="6803"/>
          </w:tcPr>
          <w:p>
            <w:r>
              <w:t>（例：決済API・SQSキュー・Lambdaワーカー・DynamoDB（冪等性管理）・SNS（通知））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データフロー</w:t>
            </w:r>
          </w:p>
        </w:tc>
        <w:tc>
          <w:tcPr>
            <w:tcW w:type="dxa" w:w="6803"/>
          </w:tcPr>
          <w:p>
            <w:r>
              <w:t>（例：1. APIがリクエストをSQSに投入 → 2. Lambdaが処理 → 3. 結果をDBに保存 → 4. SNSで通知）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冪等性の担保</w:t>
            </w:r>
          </w:p>
        </w:tc>
        <w:tc>
          <w:tcPr>
            <w:tcW w:type="dxa" w:w="6803"/>
          </w:tcPr>
          <w:p>
            <w:r>
              <w:t>（例：DynamoDBにリクエストIDを記録し、重複処理を防ぐ）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エラーハンドリング</w:t>
            </w:r>
          </w:p>
        </w:tc>
        <w:tc>
          <w:tcPr>
            <w:tcW w:type="dxa" w:w="6803"/>
          </w:tcPr>
          <w:p>
            <w:r>
              <w:t>（例：Lambda処理失敗時はDead Letter Queue（DLQ）に移動し、アラートを発報）</w:t>
            </w:r>
          </w:p>
        </w:tc>
      </w:tr>
    </w:tbl>
    <w:p/>
    <w:p>
      <w:pPr>
        <w:pStyle w:val="Heading1"/>
      </w:pPr>
      <w:r>
        <w:rPr>
          <w:color w:val="2E74B5"/>
        </w:rPr>
        <w:t>代替案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案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概要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却下理由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案1（現行維持）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（例：同期API構成を維持しタイムアウト閾値を延長する）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（例：根本原因の解消にならず、ユーザー待機時間の改善も見込めない）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案2（Kafkaキュー）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（例：SQSの代わりにKafkaを使用する）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（例：運用コストとチームの習熟度の観点からSQSが適切。現段階ではオーバースペック）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案3（提案案：SQS+Lambda）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（例：本提案。SQSとLambdaで非同期処理基盤を構築する）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採用</w:t>
            </w:r>
          </w:p>
        </w:tc>
      </w:tr>
    </w:tbl>
    <w:p/>
    <w:p>
      <w:pPr>
        <w:pStyle w:val="Heading1"/>
      </w:pPr>
      <w:r>
        <w:rPr>
          <w:color w:val="2E74B5"/>
        </w:rPr>
        <w:t>トレードオフ・リスク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メリット</w:t>
            </w:r>
          </w:p>
        </w:tc>
        <w:tc>
          <w:tcPr>
            <w:tcW w:type="dxa" w:w="6803"/>
          </w:tcPr>
          <w:p>
            <w:r>
              <w:t>（例：タイムアウト障害の解消・ユーザー体験の改善・処理スケーラビリティの向上）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デメリット</w:t>
            </w:r>
          </w:p>
        </w:tc>
        <w:tc>
          <w:tcPr>
            <w:tcW w:type="dxa" w:w="6803"/>
          </w:tcPr>
          <w:p>
            <w:r>
              <w:t>（例：システム複雑度の増加・非同期処理特有のデバッグの難しさ）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主要リスク</w:t>
            </w:r>
          </w:p>
        </w:tc>
        <w:tc>
          <w:tcPr>
            <w:tcW w:type="dxa" w:w="6803"/>
          </w:tcPr>
          <w:p>
            <w:r>
              <w:t>（例：DLQ監視漏れによる決済処理の無言失敗）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リスク対応</w:t>
            </w:r>
          </w:p>
        </w:tc>
        <w:tc>
          <w:tcPr>
            <w:tcW w:type="dxa" w:w="6803"/>
          </w:tcPr>
          <w:p>
            <w:r>
              <w:t>（例：DLQメッセージ数のアラートをDatadogに設定し、SLA対応フローを整備する）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パフォーマンス影響</w:t>
            </w:r>
          </w:p>
        </w:tc>
        <w:tc>
          <w:tcPr>
            <w:tcW w:type="dxa" w:w="6803"/>
          </w:tcPr>
          <w:p>
            <w:r>
              <w:t>（例：同期→非同期への変更でAPIレスポンスは改善。結果確認にポーリングまたはWebhookが必要）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コスト影響</w:t>
            </w:r>
          </w:p>
        </w:tc>
        <w:tc>
          <w:tcPr>
            <w:tcW w:type="dxa" w:w="6803"/>
          </w:tcPr>
          <w:p>
            <w:r>
              <w:t>（例：SQS・Lambda・DynamoDB追加コスト：月+$50〜$200程度（トラフィック次第））</w:t>
            </w:r>
          </w:p>
        </w:tc>
      </w:tr>
    </w:tbl>
    <w:p/>
    <w:p>
      <w:pPr>
        <w:pStyle w:val="Heading1"/>
      </w:pPr>
      <w:r>
        <w:rPr>
          <w:color w:val="2E74B5"/>
        </w:rPr>
        <w:t>決定・承認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承認者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コメント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（例：山田）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エンジニアリングマネージャー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□ 承認待ち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（例：鈴木）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アーキテクト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□ 承認待ち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（例：佐藤）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セキュリティ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□ 承認待ち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