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Hypercare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[Project 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Go-Live 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Hypercare Period</w:t>
            </w:r>
          </w:p>
        </w:tc>
        <w:tc>
          <w:tcPr>
            <w:tcW w:type="dxa" w:w="6236"/>
          </w:tcPr>
          <w:p>
            <w:r>
              <w:t>[Date] – [Date] (2 weeks)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Hypercare Lead</w:t>
            </w:r>
          </w:p>
        </w:tc>
        <w:tc>
          <w:tcPr>
            <w:tcW w:type="dxa" w:w="6236"/>
          </w:tcPr>
          <w:p>
            <w:r>
              <w:t>[Name]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Target Transition to Normal Support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Period &amp; Team Structure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Period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Coverage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Hours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Phase 1 (Intensive Monitoring)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Days 1–3 post go-live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Full team on standby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24/7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Phase 2 (Enhanced Support)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Days 4–7 post go-live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Assigned engineer + Tech Lead on-site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Weekdays 07:00–22:00 JST; on-call 24/7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Phase 3 (Stabilization)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Days 8–14 post go-live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Assigned engineer on-site; Tech Lead on-call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Weekdays 09:00–18:00 JST; on-call 24/7</w:t>
            </w:r>
          </w:p>
        </w:tc>
      </w:tr>
    </w:tbl>
    <w:p/>
    <w:p>
      <w:pPr>
        <w:pStyle w:val="Heading1"/>
      </w:pPr>
      <w:r>
        <w:rPr>
          <w:color w:val="2E74B5"/>
        </w:rPr>
        <w:t>Team Contact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Contact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Availability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Hypercare Lead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Slack: @[name] / Phone: [number]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24/7 (Phase 1–2)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Slack: @[name] / Phone: [number]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24/7 (Phase 1); on-call (Phase 2–3)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Slack: @[name]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On-call (all phases)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User Support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Slack: @[name]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Weekdays 09:00–18:00 JST</w:t>
            </w:r>
          </w:p>
        </w:tc>
      </w:tr>
    </w:tbl>
    <w:p/>
    <w:p>
      <w:pPr>
        <w:pStyle w:val="Heading1"/>
      </w:pPr>
      <w:r>
        <w:rPr>
          <w:color w:val="2E74B5"/>
        </w:rPr>
        <w:t>Monitoring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Normal Range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Page load time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Every 1 hour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Under 3 seconds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API response time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Every 1 hour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Under 500ms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Availability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Error rate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Every 15 minutes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Below 1%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Availability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Server uptime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Real-time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99.9%+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Data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Data integrity check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Daily (9:00 AM)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Zero discrepancy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Business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Daily transaction count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Daily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Within ±10% of pre-migration baseline</w:t>
            </w:r>
          </w:p>
        </w:tc>
      </w:tr>
    </w:tbl>
    <w:p/>
    <w:p>
      <w:pPr>
        <w:pStyle w:val="Heading1"/>
      </w:pPr>
      <w:r>
        <w:rPr>
          <w:color w:val="2E74B5"/>
        </w:rPr>
        <w:t>Exit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Criteria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Condition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Stable operation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Error rate below 1% maintained for 72 consecutive hours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API response time consistently under 500ms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No open incidents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Zero L3+ open incidents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User inquiry volume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Support inquiry volume returned to normal levels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Stakeholder sign-off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Hypercare Lead and PM have approved the transition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