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OKR (Objectives and Key Results)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Quarter</w:t>
            </w:r>
          </w:p>
        </w:tc>
        <w:tc>
          <w:tcPr>
            <w:tcW w:type="dxa" w:w="6236"/>
          </w:tcPr>
          <w:p>
            <w:r>
              <w:t>(e.g., Q3 2026 (July – September))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Team / Individual</w:t>
            </w:r>
          </w:p>
        </w:tc>
        <w:tc>
          <w:tcPr>
            <w:tcW w:type="dxa" w:w="6236"/>
          </w:tcPr>
          <w:p>
            <w:r>
              <w:t>(e.g., Backend Team / Taro Yamada)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Parent OKR</w:t>
            </w:r>
          </w:p>
        </w:tc>
        <w:tc>
          <w:tcPr>
            <w:tcW w:type="dxa" w:w="6236"/>
          </w:tcPr>
          <w:p>
            <w:r>
              <w:t>(e.g., Product OKR: "Make our payment experience the most reliable in the market.")</w:t>
            </w:r>
          </w:p>
        </w:tc>
      </w:tr>
    </w:tbl>
    <w:p/>
    <w:p>
      <w:pPr>
        <w:pStyle w:val="Heading1"/>
      </w:pPr>
      <w:r>
        <w:rPr>
          <w:color w:val="2E74B5"/>
        </w:rPr>
        <w:t>Objective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Objective</w:t>
            </w:r>
          </w:p>
        </w:tc>
        <w:tc>
          <w:tcPr>
            <w:tcW w:type="dxa" w:w="6236"/>
          </w:tcPr>
          <w:p>
            <w:r>
              <w:t>(e.g., Lead the payment system to industry-leading reliability from an engineering perspective.)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Intent</w:t>
            </w:r>
          </w:p>
        </w:tc>
        <w:tc>
          <w:tcPr>
            <w:tcW w:type="dxa" w:w="6236"/>
          </w:tcPr>
          <w:p>
            <w:r>
              <w:t>(e.g., Our reliability metrics are below industry benchmarks; we aim to surpass them by end of Q3.)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Definition of Success</w:t>
            </w:r>
          </w:p>
        </w:tc>
        <w:tc>
          <w:tcPr>
            <w:tcW w:type="dxa" w:w="6236"/>
          </w:tcPr>
          <w:p>
            <w:r>
              <w:t>(e.g., When an incident happens, stakeholders say, "That team has it covered.")</w:t>
            </w:r>
          </w:p>
        </w:tc>
      </w:tr>
    </w:tbl>
    <w:p/>
    <w:p>
      <w:pPr>
        <w:pStyle w:val="Heading1"/>
      </w:pPr>
      <w:r>
        <w:rPr>
          <w:color w:val="2E74B5"/>
        </w:rPr>
        <w:t>Key Results (3–5 items)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Result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KR1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Reduce payment API p99 latency from 300ms to under 150ms.)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Datadog dashboard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300ms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150ms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KR2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Reduce monthly incidents from 5 to 1 or fewer.)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Incident management tool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5/month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1/month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KR3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Achieve 100% post-mortem completion rate (up from 50%).)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Confluence post-mortem page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Progress (Update Weekly or Monthly)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 Progress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This Week's Highlight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Blockers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KR1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40%)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Query optimization brought p99 to 250ms.)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None)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KR2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60%)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Revised alert thresholds improved early detection.)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External API incidents need to be excluded — decision pending.)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KR3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80%)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Completed post-mortems for 2 incidents this week.)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None)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