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Performance Review (Self-Assessment)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Name / Title</w:t>
            </w:r>
          </w:p>
        </w:tc>
        <w:tc>
          <w:tcPr>
            <w:tcW w:type="dxa" w:w="6803"/>
          </w:tcPr>
          <w:p>
            <w:r>
              <w:t>(e.g., Taro Yamada, Senior Backend Engineer)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Review Period</w:t>
            </w:r>
          </w:p>
        </w:tc>
        <w:tc>
          <w:tcPr>
            <w:tcW w:type="dxa" w:w="6803"/>
          </w:tcPr>
          <w:p>
            <w:r>
              <w:t>(e.g., H1 2026 (January-June))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Manager</w:t>
            </w:r>
          </w:p>
        </w:tc>
        <w:tc>
          <w:tcPr>
            <w:tcW w:type="dxa" w:w="6803"/>
          </w:tcPr>
          <w:p>
            <w:r>
              <w:t>(Name)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Submission Date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</w:tbl>
    <w:p/>
    <w:p>
      <w:pPr>
        <w:pStyle w:val="Heading1"/>
      </w:pPr>
      <w:r>
        <w:rPr>
          <w:color w:val="2E74B5"/>
        </w:rPr>
        <w:t>Key Accomplishments (3-5 items)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425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Accomplishment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Impact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(e.g., Improved payment API response time by 40%.)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(e.g., Reduced timeout-related failures by 200 cases/month, preventing revenue loss.)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(e.g., Completed the migration of a legacy system to microservices in 6 months.)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(e.g., Increased deployment frequency from monthly to twice a week - 8x faster releases.)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(e.g., Mentored two new engineers through onboarding.)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(e.g., Both became able to ship PRs independently within 3 months, strengthening team capacity.)</w:t>
            </w:r>
          </w:p>
        </w:tc>
      </w:tr>
    </w:tbl>
    <w:p/>
    <w:p>
      <w:pPr>
        <w:pStyle w:val="Heading1"/>
      </w:pPr>
      <w:r>
        <w:rPr>
          <w:color w:val="2E74B5"/>
        </w:rPr>
        <w:t>Goals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Goal (Set at Start)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425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(e.g., Reduce API p99 latency to under 200ms.)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Achieved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(e.g., Reached 175ms by optimizing the bottleneck DB queries.)</w:t>
            </w:r>
          </w:p>
        </w:tc>
      </w:tr>
      <w:tr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(e.g., Increase test coverage to 80%.)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Partially Achieved</w:t>
            </w:r>
          </w:p>
        </w:tc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(e.g., Reached 75%. The rest is planned for the Q3 tech-debt sprint.)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(e.g., Host a quarterly internal tech talk.)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Achieved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(e.g., Hosted 2 sessions with an average of 25 attendees. Slides shared on the internal wiki.)</w:t>
            </w:r>
          </w:p>
        </w:tc>
      </w:tr>
    </w:tbl>
    <w:p/>
    <w:p>
      <w:pPr>
        <w:pStyle w:val="Heading1"/>
      </w:pPr>
      <w:r>
        <w:rPr>
          <w:color w:val="2E74B5"/>
        </w:rPr>
        <w:t>Strengths &amp; Growth Areas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737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Strength 1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(e.g., Performance optimization expertise - able to lead from bottleneck identification to resolution.)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Strength 2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(e.g., Contribution to documentation culture - established design docs and post-mortems as team habits.)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Growth Area 1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(e.g., Spoken English in meetings - improving impromptu discussion skills through weekly lessons.)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Growth Area 2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(e.g., Delegation - will assign more tasks to junior members instead of implementing everything myself.)</w:t>
            </w:r>
          </w:p>
        </w:tc>
      </w:tr>
    </w:tbl>
    <w:p/>
    <w:p>
      <w:pPr>
        <w:pStyle w:val="Heading1"/>
      </w:pPr>
      <w:r>
        <w:rPr>
          <w:color w:val="2E74B5"/>
        </w:rPr>
        <w:t>Goals for Next Period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Goal</w:t>
            </w:r>
          </w:p>
        </w:tc>
        <w:tc>
          <w:tcPr>
            <w:tcW w:type="dxa" w:w="425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How to Measure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(e.g., Complete multi-region support for the payment system.)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(e.g., Pass failover testing by Q4.)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(e.g., Lead design reviews as a tech lead.)</w:t>
            </w:r>
          </w:p>
        </w:tc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(e.g., Participate in all major design reviews and record 10+ ADRs.)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(e.g., Give technical presentations in English.)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(e.g., Present twice at the global internal tech talk.)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