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パフォーマンスレビュー（自己評価）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氏名・役職</w:t>
            </w:r>
          </w:p>
        </w:tc>
        <w:tc>
          <w:tcPr>
            <w:tcW w:type="dxa" w:w="6803"/>
          </w:tcPr>
          <w:p>
            <w:r>
              <w:t>（例：山田 太郎・シニアバックエンドエンジニア）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評価期間</w:t>
            </w:r>
          </w:p>
        </w:tc>
        <w:tc>
          <w:tcPr>
            <w:tcW w:type="dxa" w:w="6803"/>
          </w:tcPr>
          <w:p>
            <w:r>
              <w:t>（例：2026年上半期（1月〜6月））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マネージャー</w:t>
            </w:r>
          </w:p>
        </w:tc>
        <w:tc>
          <w:tcPr>
            <w:tcW w:type="dxa" w:w="6803"/>
          </w:tcPr>
          <w:p>
            <w:r>
              <w:t>（名前）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提出日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</w:tbl>
    <w:p/>
    <w:p>
      <w:pPr>
        <w:pStyle w:val="Heading1"/>
      </w:pPr>
      <w:r>
        <w:rPr>
          <w:color w:val="2E74B5"/>
        </w:rPr>
        <w:t>成果サマリー（3〜5個）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成果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インパクト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（例：決済APIのレスポンスタイムを40%改善した）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（例：タイムアウト起因の失注が月200件減少し、売上損失を防いだ）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（例：レガシーシステムのマイクロサービス移行を6か月で完了した）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（例：デプロイ頻度が月1回から週2回に向上し、リリース速度が8倍になった）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（例：新人2名のオンボーディングをメンターとして支援した）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（例：2名とも3か月で独力でPRを出せる状態になり、チームの開発力が向上した）</w:t>
            </w:r>
          </w:p>
        </w:tc>
      </w:tr>
    </w:tbl>
    <w:p/>
    <w:p>
      <w:pPr>
        <w:pStyle w:val="Heading1"/>
      </w:pPr>
      <w:r>
        <w:rPr>
          <w:color w:val="2E74B5"/>
        </w:rPr>
        <w:t>目標の達成状況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期初の目標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達成状況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詳細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（例：API p99レイテンシを200ms以下にする）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達成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（例：175msまで改善。ボトルネックだったDBクエリを最適化した）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（例：テストカバレッジを80%にする）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一部達成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（例：75%まで向上。残りはQ3の技術負債返済スプリントで対応予定）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（例：社内勉強会を四半期1回主催する）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達成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（例：2回主催し、平均参加者25名。発表資料は社内Wikiで共有済み）</w:t>
            </w:r>
          </w:p>
        </w:tc>
      </w:tr>
    </w:tbl>
    <w:p/>
    <w:p>
      <w:pPr>
        <w:pStyle w:val="Heading1"/>
      </w:pPr>
      <w:r>
        <w:rPr>
          <w:color w:val="2E74B5"/>
        </w:rPr>
        <w:t>強み・改善点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区分</w:t>
            </w:r>
          </w:p>
        </w:tc>
        <w:tc>
          <w:tcPr>
            <w:tcW w:type="dxa" w:w="765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強み1</w:t>
            </w:r>
          </w:p>
        </w:tc>
        <w:tc>
          <w:tcPr>
            <w:tcW w:type="dxa" w:w="7654"/>
          </w:tcPr>
          <w:p>
            <w:r>
              <w:rPr>
                <w:sz w:val="20"/>
              </w:rPr>
              <w:t>（例：パフォーマンス改善の専門性。ボトルネック特定から解消まで一貫して主導できる）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強み2</w:t>
            </w:r>
          </w:p>
        </w:tc>
        <w:tc>
          <w:tcPr>
            <w:tcW w:type="dxa" w:w="7654"/>
            <w:shd w:val="clear" w:color="auto" w:fill="DEEAF1"/>
          </w:tcPr>
          <w:p>
            <w:r>
              <w:rPr>
                <w:sz w:val="20"/>
              </w:rPr>
              <w:t>（例：ドキュメント文化への貢献。設計書・ポストモーテムの記録を習慣化しチームに広めた）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改善点1</w:t>
            </w:r>
          </w:p>
        </w:tc>
        <w:tc>
          <w:tcPr>
            <w:tcW w:type="dxa" w:w="7654"/>
          </w:tcPr>
          <w:p>
            <w:r>
              <w:rPr>
                <w:sz w:val="20"/>
              </w:rPr>
              <w:t>（例：英語での口頭発言。次期は週1回の英会話レッスンを継続する）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改善点2</w:t>
            </w:r>
          </w:p>
        </w:tc>
        <w:tc>
          <w:tcPr>
            <w:tcW w:type="dxa" w:w="7654"/>
            <w:shd w:val="clear" w:color="auto" w:fill="DEEAF1"/>
          </w:tcPr>
          <w:p>
            <w:r>
              <w:rPr>
                <w:sz w:val="20"/>
              </w:rPr>
              <w:t>（例：委譲。次期はジュニアメンバーへのタスク委譲を増やす）</w:t>
            </w:r>
          </w:p>
        </w:tc>
      </w:tr>
    </w:tbl>
    <w:p/>
    <w:p>
      <w:pPr>
        <w:pStyle w:val="Heading1"/>
      </w:pPr>
      <w:r>
        <w:rPr>
          <w:color w:val="2E74B5"/>
        </w:rPr>
        <w:t>次期の目標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測定方法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（例：決済システムのマルチリージョン対応を完了する）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（例：Q4までにフェイルオーバーテストに合格する）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（例：テックリードとしてチームの設計レビューを主導する）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（例：全主要機能の設計レビューに参加し、ADRを10件以上記録する）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（例：英語での技術発表を行う）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（例：社内グローバル勉強会で2回発表する）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