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Incident Response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Incident ID</w:t>
            </w:r>
          </w:p>
        </w:tc>
        <w:tc>
          <w:tcPr>
            <w:tcW w:type="dxa" w:w="6236"/>
          </w:tcPr>
          <w:p>
            <w:r>
              <w:t>(e.g., SEC-2026-0815)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Severity</w:t>
            </w:r>
          </w:p>
        </w:tc>
        <w:tc>
          <w:tcPr>
            <w:tcW w:type="dxa" w:w="6236"/>
          </w:tcPr>
          <w:p>
            <w:r>
              <w:t>(e.g., P1 / Critical)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Incident Type</w:t>
            </w:r>
          </w:p>
        </w:tc>
        <w:tc>
          <w:tcPr>
            <w:tcW w:type="dxa" w:w="6236"/>
          </w:tcPr>
          <w:p>
            <w:r>
              <w:t>(e.g., Unauthorized Access / Data Breach / Malware / Phishing)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Detected At</w:t>
            </w:r>
          </w:p>
        </w:tc>
        <w:tc>
          <w:tcPr>
            <w:tcW w:type="dxa" w:w="6236"/>
          </w:tcPr>
          <w:p>
            <w:r>
              <w:t>(e.g., August 15, 2026 at 02:35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Impact Scope</w:t>
            </w:r>
          </w:p>
        </w:tc>
        <w:tc>
          <w:tcPr>
            <w:tcW w:type="dxa" w:w="6236"/>
          </w:tcPr>
          <w:p>
            <w:r>
              <w:t>(e.g., Production DB server / 500K user PII records)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Incident Manager</w:t>
            </w:r>
          </w:p>
        </w:tc>
        <w:tc>
          <w:tcPr>
            <w:tcW w:type="dxa" w:w="6236"/>
          </w:tcPr>
          <w:p>
            <w:r>
              <w:t>(e.g., Yamada (Security Lead))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236"/>
          </w:tcPr>
          <w:p>
            <w:r>
              <w:t>(e.g., In Progress / Contained / Closed)</w:t>
            </w:r>
          </w:p>
        </w:tc>
      </w:tr>
    </w:tbl>
    <w:p/>
    <w:p>
      <w:pPr>
        <w:pStyle w:val="Heading1"/>
      </w:pPr>
      <w:r>
        <w:rPr>
          <w:color w:val="2E74B5"/>
        </w:rPr>
        <w:t>Detection &amp; Initial Response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Detection Method</w:t>
            </w:r>
          </w:p>
        </w:tc>
        <w:tc>
          <w:tcPr>
            <w:tcW w:type="dxa" w:w="6236"/>
          </w:tcPr>
          <w:p>
            <w:r>
              <w:t>(e.g., SIEM alert. Detected anomalous query patterns on the production DB.)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Detected By</w:t>
            </w:r>
          </w:p>
        </w:tc>
        <w:tc>
          <w:tcPr>
            <w:tcW w:type="dxa" w:w="6236"/>
          </w:tcPr>
          <w:p>
            <w:r>
              <w:t>(e.g., Tanaka (On-Call Engineer))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Initial Response Time</w:t>
            </w:r>
          </w:p>
        </w:tc>
        <w:tc>
          <w:tcPr>
            <w:tcW w:type="dxa" w:w="6236"/>
          </w:tcPr>
          <w:p>
            <w:r>
              <w:t>(e.g., August 15, 2026 at 02:40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Initial Actions Taken</w:t>
            </w:r>
          </w:p>
        </w:tc>
        <w:tc>
          <w:tcPr>
            <w:tcW w:type="dxa" w:w="6236"/>
          </w:tcPr>
          <w:p>
            <w:r>
              <w:t>(e.g., 1. Reviewed alert details → 2. Assessed initial blast radius → 3. Escalated to Incident Manager)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Initial Assessment</w:t>
            </w:r>
          </w:p>
        </w:tc>
        <w:tc>
          <w:tcPr>
            <w:tcW w:type="dxa" w:w="6236"/>
          </w:tcPr>
          <w:p>
            <w:r>
              <w:t>(e.g., High likelihood of unauthorized access. Declared P1 incident.)</w:t>
            </w:r>
          </w:p>
        </w:tc>
      </w:tr>
    </w:tbl>
    <w:p/>
    <w:p>
      <w:pPr>
        <w:pStyle w:val="Heading1"/>
      </w:pPr>
      <w:r>
        <w:rPr>
          <w:color w:val="2E74B5"/>
        </w:rPr>
        <w:t>Containment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Containment Start</w:t>
            </w:r>
          </w:p>
        </w:tc>
        <w:tc>
          <w:tcPr>
            <w:tcW w:type="dxa" w:w="6236"/>
          </w:tcPr>
          <w:p>
            <w:r>
              <w:t>(e.g., August 15, 2026 at 03:00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Short-Term Containment</w:t>
            </w:r>
          </w:p>
        </w:tc>
        <w:tc>
          <w:tcPr>
            <w:tcW w:type="dxa" w:w="6236"/>
          </w:tcPr>
          <w:p>
            <w:r>
              <w:t>(e.g., 1. Isolated the affected DB server from the network → 2. Set the API endpoint to return 503 → 3. Blocked attacker IP in WAF)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Evidence Preservation</w:t>
            </w:r>
          </w:p>
        </w:tc>
        <w:tc>
          <w:tcPr>
            <w:tcW w:type="dxa" w:w="6236"/>
          </w:tcPr>
          <w:p>
            <w:r>
              <w:t>(e.g., Preserved memory dump, network logs, and access logs from the DB server.)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Long-Term Containment</w:t>
            </w:r>
          </w:p>
        </w:tc>
        <w:tc>
          <w:tcPr>
            <w:tcW w:type="dxa" w:w="6236"/>
          </w:tcPr>
          <w:p>
            <w:r>
              <w:t>(e.g., Reset passwords for all admin accounts. Enforced MFA.)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Containment Completed</w:t>
            </w:r>
          </w:p>
        </w:tc>
        <w:tc>
          <w:tcPr>
            <w:tcW w:type="dxa" w:w="6236"/>
          </w:tcPr>
          <w:p>
            <w:r>
              <w:t>(e.g., August 15, 2026 at 04:30 JST)</w:t>
            </w:r>
          </w:p>
        </w:tc>
      </w:tr>
    </w:tbl>
    <w:p/>
    <w:p>
      <w:pPr>
        <w:pStyle w:val="Heading1"/>
      </w:pPr>
      <w:r>
        <w:rPr>
          <w:color w:val="2E74B5"/>
        </w:rPr>
        <w:t>Eradication &amp; Recovery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Root Cause</w:t>
            </w:r>
          </w:p>
        </w:tc>
        <w:tc>
          <w:tcPr>
            <w:tcW w:type="dxa" w:w="6236"/>
          </w:tcPr>
          <w:p>
            <w:r>
              <w:t>(e.g., Authentication bypass vulnerability (CVE-XXXX-YYYY) in an outdated version of the admin console was exploited.)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Eradication Actions</w:t>
            </w:r>
          </w:p>
        </w:tc>
        <w:tc>
          <w:tcPr>
            <w:tcW w:type="dxa" w:w="6236"/>
          </w:tcPr>
          <w:p>
            <w:r>
              <w:t>(e.g., 1. Patched the vulnerable component → 2. Deleted unauthorized accounts → 3. Revoked all compromised tokens)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Recovery Steps</w:t>
            </w:r>
          </w:p>
        </w:tc>
        <w:tc>
          <w:tcPr>
            <w:tcW w:type="dxa" w:w="6236"/>
          </w:tcPr>
          <w:p>
            <w:r>
              <w:t>(e.g., 1. Restored DB from a clean backup → 2. Verified data integrity → 3. Gradually restored service)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Service Restored At</w:t>
            </w:r>
          </w:p>
        </w:tc>
        <w:tc>
          <w:tcPr>
            <w:tcW w:type="dxa" w:w="6236"/>
          </w:tcPr>
          <w:p>
            <w:r>
              <w:t>(e.g., August 15, 2026 at 08:00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Data Breach Confirmed</w:t>
            </w:r>
          </w:p>
        </w:tc>
        <w:tc>
          <w:tcPr>
            <w:tcW w:type="dxa" w:w="6236"/>
          </w:tcPr>
          <w:p>
            <w:r>
              <w:t>(e.g., Confirmed unauthorized access to 500K user PII records: name, email, hashed password.)</w:t>
            </w:r>
          </w:p>
        </w:tc>
      </w:tr>
    </w:tbl>
    <w:p/>
    <w:p>
      <w:pPr>
        <w:pStyle w:val="Heading1"/>
      </w:pPr>
      <w:r>
        <w:rPr>
          <w:color w:val="2E74B5"/>
        </w:rPr>
        <w:t>Post-Incident Review &amp; Reporting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Post-Mortem Date</w:t>
            </w:r>
          </w:p>
        </w:tc>
        <w:tc>
          <w:tcPr>
            <w:tcW w:type="dxa" w:w="6236"/>
          </w:tcPr>
          <w:p>
            <w:r>
              <w:t>(e.g., August 20,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Timeline</w:t>
            </w:r>
          </w:p>
        </w:tc>
        <w:tc>
          <w:tcPr>
            <w:tcW w:type="dxa" w:w="6236"/>
          </w:tcPr>
          <w:p>
            <w:r>
              <w:t>(e.g., Attack began 01:50 → Detected 02:35 → Contained 04:30 → Service restored 08:00)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Root Cause Analysis</w:t>
            </w:r>
          </w:p>
        </w:tc>
        <w:tc>
          <w:tcPr>
            <w:tcW w:type="dxa" w:w="6236"/>
          </w:tcPr>
          <w:p>
            <w:r>
              <w:t>(e.g., Vulnerability scanning frequency was insufficient. CVE patches were delayed by 3 months.)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Action Items</w:t>
            </w:r>
          </w:p>
        </w:tc>
        <w:tc>
          <w:tcPr>
            <w:tcW w:type="dxa" w:w="6236"/>
          </w:tcPr>
          <w:p>
            <w:r>
              <w:t>(e.g., 1. Change vuln scanning from monthly to weekly → 2. Auto-create tickets for CVE alerts → 3. Enforce MFA on admin console)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Regulatory Reporting</w:t>
            </w:r>
          </w:p>
        </w:tc>
        <w:tc>
          <w:tcPr>
            <w:tcW w:type="dxa" w:w="6236"/>
          </w:tcPr>
          <w:p>
            <w:r>
              <w:t>(e.g., Notified supervisory authority within 72 hours per GDPR Article 33.)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