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セキュリティインシデント対応文書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インシデントID</w:t>
            </w:r>
          </w:p>
        </w:tc>
        <w:tc>
          <w:tcPr>
            <w:tcW w:type="dxa" w:w="6236"/>
          </w:tcPr>
          <w:p>
            <w:r>
              <w:t>（例：SEC-2026-0815）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重要度</w:t>
            </w:r>
          </w:p>
        </w:tc>
        <w:tc>
          <w:tcPr>
            <w:tcW w:type="dxa" w:w="6236"/>
          </w:tcPr>
          <w:p>
            <w:r>
              <w:t>（例：P1 / Critical）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インシデントタイプ</w:t>
            </w:r>
          </w:p>
        </w:tc>
        <w:tc>
          <w:tcPr>
            <w:tcW w:type="dxa" w:w="6236"/>
          </w:tcPr>
          <w:p>
            <w:r>
              <w:t>（例：不正アクセス / データ侵害 / マルウェア感染 / フィッシング）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検知日時</w:t>
            </w:r>
          </w:p>
        </w:tc>
        <w:tc>
          <w:tcPr>
            <w:tcW w:type="dxa" w:w="6236"/>
          </w:tcPr>
          <w:p>
            <w:r>
              <w:t>（例：2026年8月15日 02:35 JST）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影響範囲</w:t>
            </w:r>
          </w:p>
        </w:tc>
        <w:tc>
          <w:tcPr>
            <w:tcW w:type="dxa" w:w="6236"/>
          </w:tcPr>
          <w:p>
            <w:r>
              <w:t>（例：本番DBサーバー / ユーザーPII（個人識別情報）50万件）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インシデントマネージャー</w:t>
            </w:r>
          </w:p>
        </w:tc>
        <w:tc>
          <w:tcPr>
            <w:tcW w:type="dxa" w:w="6236"/>
          </w:tcPr>
          <w:p>
            <w:r>
              <w:t>（例：山田（セキュリティリード））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236"/>
          </w:tcPr>
          <w:p>
            <w:r>
              <w:t>（例：対応中 / 封じ込め完了 / クローズ）</w:t>
            </w:r>
          </w:p>
        </w:tc>
      </w:tr>
    </w:tbl>
    <w:p/>
    <w:p>
      <w:pPr>
        <w:pStyle w:val="Heading1"/>
      </w:pPr>
      <w:r>
        <w:rPr>
          <w:color w:val="2E74B5"/>
        </w:rPr>
        <w:t>検知・初動対応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検知方法</w:t>
            </w:r>
          </w:p>
        </w:tc>
        <w:tc>
          <w:tcPr>
            <w:tcW w:type="dxa" w:w="6236"/>
          </w:tcPr>
          <w:p>
            <w:r>
              <w:t>（例：SIEMアラート。本番DBへの異常なクエリパターンを検知）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検知者</w:t>
            </w:r>
          </w:p>
        </w:tc>
        <w:tc>
          <w:tcPr>
            <w:tcW w:type="dxa" w:w="6236"/>
          </w:tcPr>
          <w:p>
            <w:r>
              <w:t>（例：田中（オンコール担当））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初動対応日時</w:t>
            </w:r>
          </w:p>
        </w:tc>
        <w:tc>
          <w:tcPr>
            <w:tcW w:type="dxa" w:w="6236"/>
          </w:tcPr>
          <w:p>
            <w:r>
              <w:t>（例：2026年8月15日 02:40 JST）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初動で確認したこと</w:t>
            </w:r>
          </w:p>
        </w:tc>
        <w:tc>
          <w:tcPr>
            <w:tcW w:type="dxa" w:w="6236"/>
          </w:tcPr>
          <w:p>
            <w:r>
              <w:t>（例：1. アラートの内容確認 → 2. 影響範囲の初期評価 → 3. インシデントマネージャーへのエスカレーション）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初期判断</w:t>
            </w:r>
          </w:p>
        </w:tc>
        <w:tc>
          <w:tcPr>
            <w:tcW w:type="dxa" w:w="6236"/>
          </w:tcPr>
          <w:p>
            <w:r>
              <w:t>（例：不正アクセスの可能性が高い。P1インシデントとして対応を開始）</w:t>
            </w:r>
          </w:p>
        </w:tc>
      </w:tr>
    </w:tbl>
    <w:p/>
    <w:p>
      <w:pPr>
        <w:pStyle w:val="Heading1"/>
      </w:pPr>
      <w:r>
        <w:rPr>
          <w:color w:val="2E74B5"/>
        </w:rPr>
        <w:t>封じ込め（Containment）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封じ込め開始日時</w:t>
            </w:r>
          </w:p>
        </w:tc>
        <w:tc>
          <w:tcPr>
            <w:tcW w:type="dxa" w:w="6236"/>
          </w:tcPr>
          <w:p>
            <w:r>
              <w:t>（例：2026年8月15日 03:00 JST）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短期封じ込め措置</w:t>
            </w:r>
          </w:p>
        </w:tc>
        <w:tc>
          <w:tcPr>
            <w:tcW w:type="dxa" w:w="6236"/>
          </w:tcPr>
          <w:p>
            <w:r>
              <w:t>（例：1. 影響を受けたDBサーバーをネットワークから切り離し → 2. 当該APIエンドポイントを503に変更 → 3. 攻撃元IPをWAFでブロック）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証跡保全</w:t>
            </w:r>
          </w:p>
        </w:tc>
        <w:tc>
          <w:tcPr>
            <w:tcW w:type="dxa" w:w="6236"/>
          </w:tcPr>
          <w:p>
            <w:r>
              <w:t>（例：DBサーバーのメモリダンプ・ネットワークログ・アクセスログを保全）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長期封じ込め措置</w:t>
            </w:r>
          </w:p>
        </w:tc>
        <w:tc>
          <w:tcPr>
            <w:tcW w:type="dxa" w:w="6236"/>
          </w:tcPr>
          <w:p>
            <w:r>
              <w:t>（例：全管理者アカウントのパスワードをリセット。MFAを強制適用）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封じ込め完了日時</w:t>
            </w:r>
          </w:p>
        </w:tc>
        <w:tc>
          <w:tcPr>
            <w:tcW w:type="dxa" w:w="6236"/>
          </w:tcPr>
          <w:p>
            <w:r>
              <w:t>（例：2026年8月15日 04:30 JST）</w:t>
            </w:r>
          </w:p>
        </w:tc>
      </w:tr>
    </w:tbl>
    <w:p/>
    <w:p>
      <w:pPr>
        <w:pStyle w:val="Heading1"/>
      </w:pPr>
      <w:r>
        <w:rPr>
          <w:color w:val="2E74B5"/>
        </w:rPr>
        <w:t>根絶・復旧（Eradication &amp; Recovery）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根本原因</w:t>
            </w:r>
          </w:p>
        </w:tc>
        <w:tc>
          <w:tcPr>
            <w:tcW w:type="dxa" w:w="6236"/>
          </w:tcPr>
          <w:p>
            <w:r>
              <w:t>（例：管理コンソールの旧バージョン認証バイパスの脆弱性（CVE-XXXX-YYYY）が悪用された）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根絶措置</w:t>
            </w:r>
          </w:p>
        </w:tc>
        <w:tc>
          <w:tcPr>
            <w:tcW w:type="dxa" w:w="6236"/>
          </w:tcPr>
          <w:p>
            <w:r>
              <w:t>（例：1. 脆弱なバージョンをパッチ適用済みバージョンに更新 → 2. 不正に作成されたアカウントを削除 → 3. 侵害されたトークンをすべて無効化）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復旧手順</w:t>
            </w:r>
          </w:p>
        </w:tc>
        <w:tc>
          <w:tcPr>
            <w:tcW w:type="dxa" w:w="6236"/>
          </w:tcPr>
          <w:p>
            <w:r>
              <w:t>（例：1. クリーンなバックアップからDBを復元 → 2. データ整合性を確認 → 3. サービスを段階的に再開）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サービス復旧日時</w:t>
            </w:r>
          </w:p>
        </w:tc>
        <w:tc>
          <w:tcPr>
            <w:tcW w:type="dxa" w:w="6236"/>
          </w:tcPr>
          <w:p>
            <w:r>
              <w:t>（例：2026年8月15日 08:00 JST）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データ侵害の確認</w:t>
            </w:r>
          </w:p>
        </w:tc>
        <w:tc>
          <w:tcPr>
            <w:tcW w:type="dxa" w:w="6236"/>
          </w:tcPr>
          <w:p>
            <w:r>
              <w:t>（例：ユーザーPII 50万件へのアクセスが確認された。氏名・メールアドレス・ハッシュ化パスワード）</w:t>
            </w:r>
          </w:p>
        </w:tc>
      </w:tr>
    </w:tbl>
    <w:p/>
    <w:p>
      <w:pPr>
        <w:pStyle w:val="Heading1"/>
      </w:pPr>
      <w:r>
        <w:rPr>
          <w:color w:val="2E74B5"/>
        </w:rPr>
        <w:t>事後レビュー・報告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ポストモーテム実施日</w:t>
            </w:r>
          </w:p>
        </w:tc>
        <w:tc>
          <w:tcPr>
            <w:tcW w:type="dxa" w:w="6236"/>
          </w:tcPr>
          <w:p>
            <w:r>
              <w:t>（例：2026年8月20日）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タイムライン</w:t>
            </w:r>
          </w:p>
        </w:tc>
        <w:tc>
          <w:tcPr>
            <w:tcW w:type="dxa" w:w="6236"/>
          </w:tcPr>
          <w:p>
            <w:r>
              <w:t>（例：攻撃開始 01:50 → 検知 02:35 → 封じ込め完了 04:30 → 復旧 08:00）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根本原因分析</w:t>
            </w:r>
          </w:p>
        </w:tc>
        <w:tc>
          <w:tcPr>
            <w:tcW w:type="dxa" w:w="6236"/>
          </w:tcPr>
          <w:p>
            <w:r>
              <w:t>（例：脆弱性スキャンの頻度が不十分で、CVEの適用が3ヶ月遅延していた）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改善アクション</w:t>
            </w:r>
          </w:p>
        </w:tc>
        <w:tc>
          <w:tcPr>
            <w:tcW w:type="dxa" w:w="6236"/>
          </w:tcPr>
          <w:p>
            <w:r>
              <w:t>（例：1. 月次脆弱性スキャンを週次に変更 → 2. CVEアラートの自動チケット化 → 3. 管理コンソールのMFA強制化）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規制報告</w:t>
            </w:r>
          </w:p>
        </w:tc>
        <w:tc>
          <w:tcPr>
            <w:tcW w:type="dxa" w:w="6236"/>
          </w:tcPr>
          <w:p>
            <w:r>
              <w:t>（例：GDPR第33条に基づき、72時間以内に監督機関へ報告済み）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