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Service Catalog</w:t>
      </w:r>
    </w:p>
    <w:p>
      <w:pPr>
        <w:pStyle w:val="Heading1"/>
      </w:pPr>
      <w:r>
        <w:rPr>
          <w:color w:val="2E74B5"/>
        </w:rPr>
        <w:t>Service 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Service ID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Service Name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Target Users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(e.g., SVC-001)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Corporate VPN Access)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Network)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All Employees)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(e.g., Active)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SVC-002)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Cloud Storage)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File Management)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All Employees)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(e.g., Active)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(e.g., SVC-003)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CI/CD Pipeline)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Dev Infrastructure)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Engineers)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(e.g., Active)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SVC-004)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Data Warehouse Access)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Data Analytics)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Data Team)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(e.g., Request Required)</w:t>
            </w:r>
          </w:p>
        </w:tc>
      </w:tr>
    </w:tbl>
    <w:p/>
    <w:p>
      <w:pPr>
        <w:pStyle w:val="Heading1"/>
      </w:pPr>
      <w:r>
        <w:rPr>
          <w:color w:val="2E74B5"/>
        </w:rPr>
        <w:t>Service Detail (SVC-001 Example)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Service Name</w:t>
            </w:r>
          </w:p>
        </w:tc>
        <w:tc>
          <w:tcPr>
            <w:tcW w:type="dxa" w:w="6803"/>
          </w:tcPr>
          <w:p>
            <w:r>
              <w:t>(e.g., Corporate VPN Access)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Service ID</w:t>
            </w:r>
          </w:p>
        </w:tc>
        <w:tc>
          <w:tcPr>
            <w:tcW w:type="dxa" w:w="6803"/>
          </w:tcPr>
          <w:p>
            <w:r>
              <w:t>(e.g., SVC-001)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Description</w:t>
            </w:r>
          </w:p>
        </w:tc>
        <w:tc>
          <w:tcPr>
            <w:tcW w:type="dxa" w:w="6803"/>
          </w:tcPr>
          <w:p>
            <w:r>
              <w:t>(e.g., Provides secure remote access to the corporate network via VPN.)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Scope</w:t>
            </w:r>
          </w:p>
        </w:tc>
        <w:tc>
          <w:tcPr>
            <w:tcW w:type="dxa" w:w="6803"/>
          </w:tcPr>
          <w:p>
            <w:r>
              <w:t>(e.g., VPN client provisioning, connection support, and account management.)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Target Users</w:t>
            </w:r>
          </w:p>
        </w:tc>
        <w:tc>
          <w:tcPr>
            <w:tcW w:type="dxa" w:w="6803"/>
          </w:tcPr>
          <w:p>
            <w:r>
              <w:t>(e.g., All employees and contractors.)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Eligibility</w:t>
            </w:r>
          </w:p>
        </w:tc>
        <w:tc>
          <w:tcPr>
            <w:tcW w:type="dxa" w:w="6803"/>
          </w:tcPr>
          <w:p>
            <w:r>
              <w:t>(e.g., Must have an active employee ID and MFA configured.)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Owner</w:t>
            </w:r>
          </w:p>
        </w:tc>
        <w:tc>
          <w:tcPr>
            <w:tcW w:type="dxa" w:w="6803"/>
          </w:tcPr>
          <w:p>
            <w:r>
              <w:t>(e.g., Infrastructure Team / Tanaka)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Dependencies</w:t>
            </w:r>
          </w:p>
        </w:tc>
        <w:tc>
          <w:tcPr>
            <w:tcW w:type="dxa" w:w="6803"/>
          </w:tcPr>
          <w:p>
            <w:r>
              <w:t>(e.g., Active Directory, MFA provider)</w:t>
            </w:r>
          </w:p>
        </w:tc>
      </w:tr>
    </w:tbl>
    <w:p/>
    <w:p>
      <w:pPr>
        <w:pStyle w:val="Heading1"/>
      </w:pPr>
      <w:r>
        <w:rPr>
          <w:color w:val="2E74B5"/>
        </w:rPr>
        <w:t>SLA &amp; Support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Uptime Target</w:t>
            </w:r>
          </w:p>
        </w:tc>
        <w:tc>
          <w:tcPr>
            <w:tcW w:type="dxa" w:w="6236"/>
          </w:tcPr>
          <w:p>
            <w:r>
              <w:t>(e.g., 99.9% / month)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Maintenance Window</w:t>
            </w:r>
          </w:p>
        </w:tc>
        <w:tc>
          <w:tcPr>
            <w:tcW w:type="dxa" w:w="6236"/>
          </w:tcPr>
          <w:p>
            <w:r>
              <w:t>(e.g., Every Sunday, 02:00–04:00 JST)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Support Hours</w:t>
            </w:r>
          </w:p>
        </w:tc>
        <w:tc>
          <w:tcPr>
            <w:tcW w:type="dxa" w:w="6236"/>
          </w:tcPr>
          <w:p>
            <w:r>
              <w:t>(e.g., Weekdays, 09:00–18:00 JST)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Emergency Contact</w:t>
            </w:r>
          </w:p>
        </w:tc>
        <w:tc>
          <w:tcPr>
            <w:tcW w:type="dxa" w:w="6236"/>
          </w:tcPr>
          <w:p>
            <w:r>
              <w:t>(e.g., #infra-urgent (Slack))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Incident Response Time</w:t>
            </w:r>
          </w:p>
        </w:tc>
        <w:tc>
          <w:tcPr>
            <w:tcW w:type="dxa" w:w="6236"/>
          </w:tcPr>
          <w:p>
            <w:r>
              <w:t>(e.g., P1: within 30 min / P2: within 2 hrs / P3: next business day)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Escalation Path</w:t>
            </w:r>
          </w:p>
        </w:tc>
        <w:tc>
          <w:tcPr>
            <w:tcW w:type="dxa" w:w="6236"/>
          </w:tcPr>
          <w:p>
            <w:r>
              <w:t>(e.g., Infra Lead → VP Engineering)</w:t>
            </w:r>
          </w:p>
        </w:tc>
      </w:tr>
    </w:tbl>
    <w:p/>
    <w:p>
      <w:pPr>
        <w:pStyle w:val="Heading1"/>
      </w:pPr>
      <w:r>
        <w:rPr>
          <w:color w:val="2E74B5"/>
        </w:rPr>
        <w:t>Request Process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567"/>
            <w:shd w:val="clear" w:color="auto" w:fill="D6E4F0"/>
          </w:tcPr>
          <w:p>
            <w:r>
              <w:t>1</w:t>
            </w:r>
          </w:p>
        </w:tc>
        <w:tc>
          <w:tcPr>
            <w:tcW w:type="dxa" w:w="8504"/>
          </w:tcPr>
          <w:p>
            <w:r>
              <w:t>(e.g., Go to the internal portal at portal.example.com)</w:t>
            </w:r>
          </w:p>
        </w:tc>
      </w:tr>
      <w:tr>
        <w:tc>
          <w:tcPr>
            <w:tcW w:type="dxa" w:w="567"/>
            <w:shd w:val="clear" w:color="auto" w:fill="D6E4F0"/>
          </w:tcPr>
          <w:p>
            <w:r>
              <w:t>2</w:t>
            </w:r>
          </w:p>
        </w:tc>
        <w:tc>
          <w:tcPr>
            <w:tcW w:type="dxa" w:w="8504"/>
          </w:tcPr>
          <w:p>
            <w:r>
              <w:t>(e.g., Select the "VPN Access Request" form)</w:t>
            </w:r>
          </w:p>
        </w:tc>
      </w:tr>
      <w:tr>
        <w:tc>
          <w:tcPr>
            <w:tcW w:type="dxa" w:w="567"/>
            <w:shd w:val="clear" w:color="auto" w:fill="D6E4F0"/>
          </w:tcPr>
          <w:p>
            <w:r>
              <w:t>3</w:t>
            </w:r>
          </w:p>
        </w:tc>
        <w:tc>
          <w:tcPr>
            <w:tcW w:type="dxa" w:w="8504"/>
          </w:tcPr>
          <w:p>
            <w:r>
              <w:t>(e.g., Fill in your name, department, and purpose of use, then submit)</w:t>
            </w:r>
          </w:p>
        </w:tc>
      </w:tr>
      <w:tr>
        <w:tc>
          <w:tcPr>
            <w:tcW w:type="dxa" w:w="567"/>
            <w:shd w:val="clear" w:color="auto" w:fill="D6E4F0"/>
          </w:tcPr>
          <w:p>
            <w:r>
              <w:t>4</w:t>
            </w:r>
          </w:p>
        </w:tc>
        <w:tc>
          <w:tcPr>
            <w:tcW w:type="dxa" w:w="8504"/>
          </w:tcPr>
          <w:p>
            <w:r>
              <w:t>(e.g., Obtain approval from your manager)</w:t>
            </w:r>
          </w:p>
        </w:tc>
      </w:tr>
      <w:tr>
        <w:tc>
          <w:tcPr>
            <w:tcW w:type="dxa" w:w="567"/>
            <w:shd w:val="clear" w:color="auto" w:fill="D6E4F0"/>
          </w:tcPr>
          <w:p>
            <w:r>
              <w:t>5</w:t>
            </w:r>
          </w:p>
        </w:tc>
        <w:tc>
          <w:tcPr>
            <w:tcW w:type="dxa" w:w="8504"/>
          </w:tcPr>
          <w:p>
            <w:r>
              <w:t>(e.g., The infrastructure team will provision your account within 1 business day)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