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SLO（サービスレベル目標）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サービス名</w:t>
            </w:r>
          </w:p>
        </w:tc>
        <w:tc>
          <w:tcPr>
            <w:tcW w:type="dxa" w:w="6803"/>
          </w:tcPr>
          <w:p>
            <w:r>
              <w:t>（例：決済APIサービス）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オーナー</w:t>
            </w:r>
          </w:p>
        </w:tc>
        <w:tc>
          <w:tcPr>
            <w:tcW w:type="dxa" w:w="6803"/>
          </w:tcPr>
          <w:p>
            <w:r>
              <w:t>（例：バックエンドSREチーム）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対象環境</w:t>
            </w:r>
          </w:p>
        </w:tc>
        <w:tc>
          <w:tcPr>
            <w:tcW w:type="dxa" w:w="6803"/>
          </w:tcPr>
          <w:p>
            <w:r>
              <w:t>（例：本番環境）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（例：2026年8月1日）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レビュー周期</w:t>
            </w:r>
          </w:p>
        </w:tc>
        <w:tc>
          <w:tcPr>
            <w:tcW w:type="dxa" w:w="6803"/>
          </w:tcPr>
          <w:p>
            <w:r>
              <w:t>（例：四半期ごと）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関連SLA</w:t>
            </w:r>
          </w:p>
        </w:tc>
        <w:tc>
          <w:tcPr>
            <w:tcW w:type="dxa" w:w="6803"/>
          </w:tcPr>
          <w:p>
            <w:r>
              <w:t>（例：顧客向けSLA 99.9%可用性）</w:t>
            </w:r>
          </w:p>
        </w:tc>
      </w:tr>
    </w:tbl>
    <w:p/>
    <w:p>
      <w:pPr>
        <w:pStyle w:val="Heading1"/>
      </w:pPr>
      <w:r>
        <w:rPr>
          <w:color w:val="2E74B5"/>
        </w:rPr>
        <w:t>SLI定義（Service Level Indicator）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SLI名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計測方法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可用性（Availability）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（例：正常レスポンス数 ÷ 全リクエスト数）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（例：Datadog APMのリクエスト成功率）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レイテンシ（Latency）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（例：APIレスポンスタイムのp95）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（例：Datadogのパーセンタイルトレース）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エラーレート（Error Rate）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（例：5xxエラー数 ÷ 全リクエスト数）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（例：Datadogのエラーレートメトリクス）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スループット（Throughput）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（例：1秒あたりの処理リクエスト数）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（例：Datadogのリクエスト数メトリクス）</w:t>
            </w:r>
          </w:p>
        </w:tc>
      </w:tr>
    </w:tbl>
    <w:p/>
    <w:p>
      <w:pPr>
        <w:pStyle w:val="Heading1"/>
      </w:pPr>
      <w:r>
        <w:rPr>
          <w:color w:val="2E74B5"/>
        </w:rPr>
        <w:t>SLO目標値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SLI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SLO目標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計測期間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SLA閾値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（例：99.95%以上）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（例：99.9%）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レイテンシ（p95）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（例：200ms以下）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（例：500ms以下）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エラーレート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（例：0.05%以下）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（例：0.1%以下）</w:t>
            </w:r>
          </w:p>
        </w:tc>
      </w:tr>
    </w:tbl>
    <w:p/>
    <w:p>
      <w:pPr>
        <w:pStyle w:val="Heading1"/>
      </w:pPr>
      <w:r>
        <w:rPr>
          <w:color w:val="2E74B5"/>
        </w:rPr>
        <w:t>エラーバジェット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計算方法</w:t>
            </w:r>
          </w:p>
        </w:tc>
        <w:tc>
          <w:tcPr>
            <w:tcW w:type="dxa" w:w="6236"/>
          </w:tcPr>
          <w:p>
            <w:r>
              <w:t>（例：エラーバジェット = 1 − SLO目標値。可用性99.95%の場合、月間許容ダウンタイムは21.6分）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消費率アラート</w:t>
            </w:r>
          </w:p>
        </w:tc>
        <w:tc>
          <w:tcPr>
            <w:tcW w:type="dxa" w:w="6236"/>
          </w:tcPr>
          <w:p>
            <w:r>
              <w:t>（例：エラーバジェット消費率が50%を超えたらSlackに通知）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消費率が100%に達した場合</w:t>
            </w:r>
          </w:p>
        </w:tc>
        <w:tc>
          <w:tcPr>
            <w:tcW w:type="dxa" w:w="6236"/>
          </w:tcPr>
          <w:p>
            <w:r>
              <w:t>（例：新機能リリースを停止し、信頼性改善に集中する）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エラーバジェットポリシー</w:t>
            </w:r>
          </w:p>
        </w:tc>
        <w:tc>
          <w:tcPr>
            <w:tcW w:type="dxa" w:w="6236"/>
          </w:tcPr>
          <w:p>
            <w:r>
              <w:t>（例：消費率80%超で機能開発を停止し、SREタスクのみ実施）</w:t>
            </w:r>
          </w:p>
        </w:tc>
      </w:tr>
    </w:tbl>
    <w:p/>
    <w:p>
      <w:pPr>
        <w:pStyle w:val="Heading1"/>
      </w:pPr>
      <w:r>
        <w:rPr>
          <w:color w:val="2E74B5"/>
        </w:rPr>
        <w:t>レビュー・エスカレーション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レビュー担当</w:t>
            </w:r>
          </w:p>
        </w:tc>
        <w:tc>
          <w:tcPr>
            <w:tcW w:type="dxa" w:w="6236"/>
          </w:tcPr>
          <w:p>
            <w:r>
              <w:t>（例：SREリード・プロダクトマネージャー）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レビュー周期</w:t>
            </w:r>
          </w:p>
        </w:tc>
        <w:tc>
          <w:tcPr>
            <w:tcW w:type="dxa" w:w="6236"/>
          </w:tcPr>
          <w:p>
            <w:r>
              <w:t>（例：毎月最終金曜日）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SLO違反時のエスカレーション先</w:t>
            </w:r>
          </w:p>
        </w:tc>
        <w:tc>
          <w:tcPr>
            <w:tcW w:type="dxa" w:w="6236"/>
          </w:tcPr>
          <w:p>
            <w:r>
              <w:t>（例：エンジニアリングマネージャー）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SLO改定基準</w:t>
            </w:r>
          </w:p>
        </w:tc>
        <w:tc>
          <w:tcPr>
            <w:tcW w:type="dxa" w:w="6236"/>
          </w:tcPr>
          <w:p>
            <w:r>
              <w:t>（例：3ヶ月連続でSLOを達成できない場合、目標値を見直す）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