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スプリントゴール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236"/>
          </w:tcPr>
          <w:p>
            <w:r>
              <w:t>（例：Sprint 44）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スプリント期間</w:t>
            </w:r>
          </w:p>
        </w:tc>
        <w:tc>
          <w:tcPr>
            <w:tcW w:type="dxa" w:w="6236"/>
          </w:tcPr>
          <w:p>
            <w:r>
              <w:t>（例：2026年9月1日〜9月12日）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スプリントゴール</w:t>
            </w:r>
          </w:p>
        </w:tc>
        <w:tc>
          <w:tcPr>
            <w:tcW w:type="dxa" w:w="6236"/>
          </w:tcPr>
          <w:p>
            <w:r>
              <w:t>（例：Apple Pay・Google Payの決済統合を完了し、モバイルユーザーがカード番号入力なしでチェックアウトできるようにする）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ゴールの背景</w:t>
            </w:r>
          </w:p>
        </w:tc>
        <w:tc>
          <w:tcPr>
            <w:tcW w:type="dxa" w:w="6236"/>
          </w:tcPr>
          <w:p>
            <w:r>
              <w:t>（例：モバイル決済の離脱率12%を改善するため、今スプリントで決済UXの主要ボトルネックを解消する）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ゴールの種別</w:t>
            </w:r>
          </w:p>
        </w:tc>
        <w:tc>
          <w:tcPr>
            <w:tcW w:type="dxa" w:w="6236"/>
          </w:tcPr>
          <w:p>
            <w:r>
              <w:t>（例：新機能リリース）</w:t>
            </w:r>
          </w:p>
        </w:tc>
      </w:tr>
    </w:tbl>
    <w:p/>
    <w:p>
      <w:pPr>
        <w:pStyle w:val="Heading1"/>
      </w:pPr>
      <w:r>
        <w:rPr>
          <w:color w:val="2E74B5"/>
        </w:rPr>
        <w:t>成功基準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成功基準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測定方法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（例：Apple PayとGoogle Payで決済が完了できる）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（例：ステージング環境でのE2Eテスト合格）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（例：既存のクレジットカード決済フローに影響がない）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（例：リグレッションテスト全件合格）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（例：決済エラー時に適切なメッセージが表示される）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（例：エラーシナリオのUATサインオフ）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（例：レスポンスタイムが現状（平均300ms）以下を維持する）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（例：負荷テストでP95 500ms以内）</w:t>
            </w:r>
          </w:p>
        </w:tc>
      </w:tr>
    </w:tbl>
    <w:p/>
    <w:p>
      <w:pPr>
        <w:pStyle w:val="Heading1"/>
      </w:pPr>
      <w:r>
        <w:rPr>
          <w:color w:val="2E74B5"/>
        </w:rPr>
        <w:t>前提条件・制約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前提条件</w:t>
            </w:r>
          </w:p>
        </w:tc>
        <w:tc>
          <w:tcPr>
            <w:tcW w:type="dxa" w:w="6236"/>
          </w:tcPr>
          <w:p>
            <w:r>
              <w:t>（例：Apple Pay APIキーの取得が完了している / ステージング環境が利用可能）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技術的制約</w:t>
            </w:r>
          </w:p>
        </w:tc>
        <w:tc>
          <w:tcPr>
            <w:tcW w:type="dxa" w:w="6236"/>
          </w:tcPr>
          <w:p>
            <w:r>
              <w:t>（例：既存の決済SDKのバージョンを変更しない）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スコープ外</w:t>
            </w:r>
          </w:p>
        </w:tc>
        <w:tc>
          <w:tcPr>
            <w:tcW w:type="dxa" w:w="6236"/>
          </w:tcPr>
          <w:p>
            <w:r>
              <w:t>（例：Google Payの日本以外のリージョン対応は含まない）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工数制約</w:t>
            </w:r>
          </w:p>
        </w:tc>
        <w:tc>
          <w:tcPr>
            <w:tcW w:type="dxa" w:w="6236"/>
          </w:tcPr>
          <w:p>
            <w:r>
              <w:t>（例：チームの総キャパシティは60pt。QAエンジニアが週3日稼働）</w:t>
            </w:r>
          </w:p>
        </w:tc>
      </w:tr>
    </w:tbl>
    <w:p/>
    <w:p>
      <w:pPr>
        <w:pStyle w:val="Heading1"/>
      </w:pPr>
      <w:r>
        <w:rPr>
          <w:color w:val="2E74B5"/>
        </w:rPr>
        <w:t>リスク・依存関係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リスク・依存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（例：Apple Pay API仕様変更）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（例：Apple Developer Docsが最新版に更新されている可能性）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（例：スプリント開始前にAPIバージョンを確認し、変更があれば見積もりを再調整）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（例：QAリソース不足）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（例：QAが週3日しか稼働できないため、テストの順序が重要）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（例：優先度高のE2Eテストを週前半に集中させる）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（例：PAY-108への依存）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（例：Apple Pay APIキー取得（PAY-108）が未完了の場合ブロックされる）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（例：PAY-108はスプリント開始時点で完了済みであることをPOが確認）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