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Technology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t>Project / Product Name</w:t>
            </w:r>
          </w:p>
        </w:tc>
        <w:tc>
          <w:tcPr>
            <w:tcW w:type="dxa" w:w="6803"/>
          </w:tcPr>
          <w:p>
            <w:r>
              <w:t>(e.g., [Platform Name])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Target Period</w:t>
            </w:r>
          </w:p>
        </w:tc>
        <w:tc>
          <w:tcPr>
            <w:tcW w:type="dxa" w:w="6803"/>
          </w:tcPr>
          <w:p>
            <w:r>
              <w:t>(e.g., Q1–Q4 2026)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Vision &amp; Goals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Vision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Improve API response time by 50% and enable global deployment by end of 2026.)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Strategic Goal 1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Improve scalability through microservices architecture.)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Strategic Goal 2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Increase deployment frequency by establishing CI/CD pipelines.)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Strategic Goal 3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Achieve SOC2 certification through security hardening.)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KPIs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Deployment frequency: from monthly to twice a week. API p99 latency: under 200ms.)</w:t>
            </w:r>
          </w:p>
        </w:tc>
      </w:tr>
    </w:tbl>
    <w:p/>
    <w:p>
      <w:pPr>
        <w:pStyle w:val="Heading1"/>
      </w:pPr>
      <w:r>
        <w:rPr>
          <w:color w:val="2E74B5"/>
        </w:rPr>
        <w:t>Current State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 State (AS-IS)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Gap / Challenge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Architecture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Monolithic architecture)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(e.g., Difficult to scale out; wide blast radius during incidents.)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Deployment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Manual deployment, once a month)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(e.g., Frequent deployment errors prevent increasing release frequency.)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Internal policy only)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(e.g., Does not meet external certification standards; a barrier to global expansion.)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Technical Debt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30%+ legacy code)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(e.g., High cost of adding new features, slowing development velocity.)</w:t>
            </w:r>
          </w:p>
        </w:tc>
      </w:tr>
    </w:tbl>
    <w:p/>
    <w:p>
      <w:pPr>
        <w:pStyle w:val="Heading1"/>
      </w:pPr>
      <w:r>
        <w:rPr>
          <w:color w:val="2E74B5"/>
        </w:rPr>
        <w:t>Roadmap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Period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Initiatives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Phase 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Q1 2026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Build CI/CD pipeline and set up automated testing.)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Infra Team)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Planned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Phase 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Q2 2026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Migrate authentication service to microservices.)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Backend Team)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Phase 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Q3 2026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Introduce API gateway and conduct load testing.)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Infra &amp; Backend Team)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Phase 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Q4 2026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SOC2 audit preparation and security hardening.)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Security Team)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Dependencies &amp; Risks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 / Dependency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Likelihood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(e.g., External vendor API specification changes)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Add an interface layer to isolate the impact.)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(e.g., TBD)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(e.g., Loss of a key person)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Prioritize knowledge sharing and documentation in advance.)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(e.g., TBD)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(e.g., Budget cuts leading to resource shortages)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Revisit phase priorities and focus on core initiatives.)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(e.g., TBD)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