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技術ロードマップ（Technology Roadmap）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t>プロジェクト／プロダクト名</w:t>
            </w:r>
          </w:p>
        </w:tc>
        <w:tc>
          <w:tcPr>
            <w:tcW w:type="dxa" w:w="6803"/>
          </w:tcPr>
          <w:p>
            <w:r>
              <w:t>（例：〇〇プラットフォーム）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対象期間</w:t>
            </w:r>
          </w:p>
        </w:tc>
        <w:tc>
          <w:tcPr>
            <w:tcW w:type="dxa" w:w="6803"/>
          </w:tcPr>
          <w:p>
            <w:r>
              <w:t>（例：2026年Q1〜Q4）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（名前・役職）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ビジョン・目標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ビジョン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（例：2026年末までにAPI応答速度を50%改善し、グローバル展開を可能にする）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戦略目標1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（例：マイクロサービス化によるスケーラビリティの向上）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戦略目標2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（例：CI/CD整備によるデプロイ頻度の向上）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戦略目標3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（例：セキュリティ強化によるSOC2認証の取得）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成功指標（KPI）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（例：デプロイ頻度 月4回→週2回、API p99レイテンシ 200ms以下）</w:t>
            </w:r>
          </w:p>
        </w:tc>
      </w:tr>
    </w:tbl>
    <w:p/>
    <w:p>
      <w:pPr>
        <w:pStyle w:val="Heading1"/>
      </w:pPr>
      <w:r>
        <w:rPr>
          <w:color w:val="2E74B5"/>
        </w:rPr>
        <w:t>現状分析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現状（AS-IS）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課題・ギャップ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アーキテクチャ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（例：モノリシック構成）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（例：スケールアウトが困難で障害時の影響範囲が広い）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デプロイ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（例：手動デプロイ・月1回）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（例：デプロイミスが多く、リリース頻度を上げられない）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セキュリティ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（例：社内規定のみ）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（例：外部認証基準を満たしておらず、グローバル展開の障壁になっている）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技術負債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（例：レガシーコードが30%以上）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（例：新機能追加のコストが高く、開発速度が低下している）</w:t>
            </w:r>
          </w:p>
        </w:tc>
      </w:tr>
    </w:tbl>
    <w:p/>
    <w:p>
      <w:pPr>
        <w:pStyle w:val="Heading1"/>
      </w:pPr>
      <w:r>
        <w:rPr>
          <w:color w:val="2E74B5"/>
        </w:rPr>
        <w:t>ロードマップ（四半期別）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期間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主要施策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Phase 1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2026年Q1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（例：CI/CDパイプラインの構築・自動テスト整備）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（例：インフラチーム）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計画中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Phase 2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2026年Q2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（例：認証サービスのマイクロサービス化）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（例：バックエンドチーム）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Phase 3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2026年Q3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（例：APIゲートウェイ導入・負荷テスト）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（例：インフラ・バックエンドチーム）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Phase 4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2026年Q4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（例：SOC2監査対応・セキュリティ強化）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（例：セキュリティチーム）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</w:tbl>
    <w:p/>
    <w:p>
      <w:pPr>
        <w:pStyle w:val="Heading1"/>
      </w:pPr>
      <w:r>
        <w:rPr>
          <w:color w:val="2E74B5"/>
        </w:rPr>
        <w:t>依存関係・リスク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リスク／依存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発生確率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（例：外部ベンダーのAPI仕様変更）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（例：インターフェース層を設けて影響を局所化する）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（例：〇〇）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（例：キーパーソンの離脱）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低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（例：ナレッジ共有とドキュメント整備を先行して実施する）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（例：〇〇）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（例：予算削減によるリソース不足）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（例：フェーズの優先順位を見直し、コアな施策に集中する）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（例：〇〇）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