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技術仕様書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/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803"/>
          </w:tcPr>
          <w:p>
            <w:r>
              <w:t>1.0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/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承認者</w:t>
            </w:r>
          </w:p>
        </w:tc>
        <w:tc>
          <w:tcPr>
            <w:tcW w:type="dxa" w:w="6803"/>
          </w:tcPr>
          <w:p>
            <w:r/>
          </w:p>
        </w:tc>
      </w:tr>
    </w:tbl>
    <w:p/>
    <w:p>
      <w:pPr>
        <w:pStyle w:val="Heading1"/>
      </w:pPr>
      <w:r>
        <w:rPr>
          <w:color w:val="2E74B5"/>
        </w:rPr>
        <w:t>1. 概要・目的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本書の目的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対象読者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関連ドキュメント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2. スコープ</w:t>
      </w:r>
    </w:p>
    <w:p>
      <w:r>
        <w:rPr>
          <w:sz w:val="20"/>
        </w:rPr>
        <w:t>対象範囲：</w:t>
      </w:r>
    </w:p>
    <w:p>
      <w:pPr>
        <w:pStyle w:val="ListBullet"/>
      </w:pPr>
      <w:r>
        <w:rPr>
          <w:sz w:val="20"/>
        </w:rPr>
        <w:t>（対象範囲を記入）</w:t>
      </w:r>
    </w:p>
    <w:p>
      <w:pPr>
        <w:pStyle w:val="ListBullet"/>
      </w:pPr>
      <w:r>
        <w:rPr>
          <w:sz w:val="20"/>
        </w:rPr>
        <w:t>（対象範囲を記入）</w:t>
      </w:r>
    </w:p>
    <w:p>
      <w:r>
        <w:rPr>
          <w:sz w:val="20"/>
        </w:rPr>
        <w:t>対象外：</w:t>
      </w:r>
    </w:p>
    <w:p>
      <w:pPr>
        <w:pStyle w:val="ListBullet"/>
      </w:pPr>
      <w:r>
        <w:rPr>
          <w:sz w:val="20"/>
        </w:rPr>
        <w:t>（対象外を記入）</w:t>
      </w:r>
    </w:p>
    <w:p>
      <w:pPr>
        <w:pStyle w:val="ListBullet"/>
      </w:pPr>
      <w:r>
        <w:rPr>
          <w:sz w:val="20"/>
        </w:rPr>
        <w:t>（対象外を記入）</w:t>
      </w:r>
    </w:p>
    <w:p/>
    <w:p>
      <w:pPr>
        <w:pStyle w:val="Heading1"/>
      </w:pPr>
      <w:r>
        <w:rPr>
          <w:color w:val="2E74B5"/>
        </w:rPr>
        <w:t>3. 機能要件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要件内容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FR-001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システムは〜しなければならない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Must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FR-002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システムは〜しなければならない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Must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FR-003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システムは〜することが推奨される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Should</w:t>
            </w:r>
          </w:p>
        </w:tc>
      </w:tr>
    </w:tbl>
    <w:p/>
    <w:p>
      <w:pPr>
        <w:pStyle w:val="Heading1"/>
      </w:pPr>
      <w:r>
        <w:rPr>
          <w:color w:val="2E74B5"/>
        </w:rPr>
        <w:t>4. 非機能要件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区分</w:t>
            </w:r>
          </w:p>
        </w:tc>
        <w:tc>
          <w:tcPr>
            <w:tcW w:type="dxa" w:w="652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要件内容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NFR-001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性能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（例）95%のリクエストを200ms以内に処理する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NFR-002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可用性</w:t>
            </w:r>
          </w:p>
        </w:tc>
        <w:tc>
          <w:tcPr>
            <w:tcW w:type="dxa" w:w="6520"/>
            <w:shd w:val="clear" w:color="auto" w:fill="DEEAF1"/>
          </w:tcPr>
          <w:p>
            <w:r>
              <w:rPr>
                <w:sz w:val="20"/>
              </w:rPr>
              <w:t>（例）月次稼働率99.9%以上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NFR-003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セキュリティ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（例）パスワードはbcryptでハッシュ化する</w:t>
            </w:r>
          </w:p>
        </w:tc>
      </w:tr>
    </w:tbl>
    <w:p/>
    <w:p>
      <w:pPr>
        <w:pStyle w:val="Heading1"/>
      </w:pPr>
      <w:r>
        <w:rPr>
          <w:color w:val="2E74B5"/>
        </w:rPr>
        <w:t>5. システム構成</w:t>
      </w:r>
    </w:p>
    <w:p>
      <w:r>
        <w:rPr>
          <w:sz w:val="20"/>
        </w:rPr>
        <w:t>（コンポーネント図・依存関係を記載）</w:t>
      </w:r>
    </w:p>
    <w:p/>
    <w:p>
      <w:pPr>
        <w:pStyle w:val="Heading1"/>
      </w:pPr>
      <w:r>
        <w:rPr>
          <w:color w:val="2E74B5"/>
        </w:rPr>
        <w:t>6. 制約事項</w:t>
      </w:r>
    </w:p>
    <w:p>
      <w:pPr>
        <w:pStyle w:val="ListBullet"/>
      </w:pPr>
      <w:r>
        <w:rPr>
          <w:sz w:val="20"/>
        </w:rPr>
        <w:t>（制約事項を記入）</w:t>
      </w:r>
    </w:p>
    <w:p>
      <w:pPr>
        <w:pStyle w:val="ListBullet"/>
      </w:pPr>
      <w:r>
        <w:rPr>
          <w:sz w:val="20"/>
        </w:rPr>
        <w:t>（制約事項を記入）</w:t>
      </w:r>
    </w:p>
    <w:p/>
    <w:p>
      <w:pPr>
        <w:pStyle w:val="Heading1"/>
      </w:pPr>
      <w:r>
        <w:rPr>
          <w:color w:val="2E74B5"/>
        </w:rPr>
        <w:t>7. 前提条件</w:t>
      </w:r>
    </w:p>
    <w:p>
      <w:pPr>
        <w:pStyle w:val="ListBullet"/>
      </w:pPr>
      <w:r>
        <w:rPr>
          <w:sz w:val="20"/>
        </w:rPr>
        <w:t>（前提条件を記入）</w:t>
      </w:r>
    </w:p>
    <w:p>
      <w:pPr>
        <w:pStyle w:val="ListBullet"/>
      </w:pPr>
      <w:r>
        <w:rPr>
          <w:sz w:val="20"/>
        </w:rPr>
        <w:t>（前提条件を記入）</w:t>
      </w:r>
    </w:p>
    <w:p/>
    <w:p>
      <w:pPr>
        <w:pStyle w:val="Heading1"/>
      </w:pPr>
      <w:r>
        <w:rPr>
          <w:color w:val="2E74B5"/>
        </w:rPr>
        <w:t>8. 用語定義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用語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定義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（用語）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（定義）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（用語）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（定義）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（用語）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（定義）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