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アプリケーション廃棄計画書</w:t>
      </w:r>
    </w:p>
    <w:p>
      <w:pPr>
        <w:pStyle w:val="Heading1"/>
      </w:pPr>
      <w:r>
        <w:rPr>
          <w:color w:val="2E74B5"/>
        </w:rPr>
        <w:t>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廃棄対象アプリケーション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プロジェクトオーナー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廃棄完了予定日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廃棄対象コンポーネント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コンポーネント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説明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廃棄優先度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Webアプリケーションサーバー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高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データベース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高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外部連携API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高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バッチ処理サーバー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中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静的コンテンツストレージ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低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CI/CDパイプライン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低</w:t>
            </w:r>
          </w:p>
        </w:tc>
      </w:tr>
    </w:tbl>
    <w:p/>
    <w:p>
      <w:pPr>
        <w:pStyle w:val="Heading1"/>
      </w:pPr>
      <w:r>
        <w:rPr>
          <w:color w:val="2E74B5"/>
        </w:rPr>
        <w:t>データ分類と処理方針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データ種別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保管データ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法定保管期間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処理方針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顧客情報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注文履歴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決済情報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ログデータ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添付ファイル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フェーズ別廃棄スケジュール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フェーズ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期間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Phase 1：準備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前提条件確認・通知・バックアップ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Phase 2：アクセス遮断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外部アクセスブロック・読み取り専用移行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Phase 3：依存切り離し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連携システムの接続先変更・API廃止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Phase 4：データ処理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アーカイブ・移行・削除の実施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Phase 5：インフラ廃止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サーバー停止・リソース削除・ライセンス解約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Phase 6：完了確認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監査・証明書発行・最終報告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主要リスクと対応策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リスク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発生確率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影響度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対応策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依存システムの影響漏れ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中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依存関係マップを作成し影響調査を実施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データ消失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低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最高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廃止前に3世代のバックアップを取得・検証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法定保管データの早期削除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低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最高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削除前に法務確認・保管期間を自動チェック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廃止後の問い合わせ増加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中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30日・7日・当日に段階的通知を送付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