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2E74B5"/>
        </w:rPr>
        <w:t>Data Mesh Design Document</w:t>
      </w:r>
    </w:p>
    <w:p>
      <w:pPr>
        <w:pStyle w:val="Heading2"/>
      </w:pPr>
      <w:r>
        <w:rPr>
          <w:color w:val="2E74B5"/>
        </w:rPr>
        <w:t>Section 1: Domain Ownership &amp; Scope</w:t>
      </w:r>
    </w:p>
    <w:p>
      <w:r>
        <w:t>Architecture Pattern: Data Mesh (Domain-Oriented, Distributed)</w:t>
      </w:r>
    </w:p>
    <w:p>
      <w:pPr>
        <w:pStyle w:val="Heading3"/>
      </w:pPr>
      <w:r>
        <w:rPr>
          <w:color w:val="2E74B5"/>
        </w:rPr>
        <w:t>Domain Definition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Domain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Owner Team</w:t>
            </w:r>
          </w:p>
        </w:tc>
        <w:tc>
          <w:tcPr>
            <w:tcW w:type="dxa" w:w="3402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Key Data Assets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Consumers</w:t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Customer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Customer profiles, behavioral history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Marketing, Analytics</w:t>
            </w:r>
          </w:p>
        </w:tc>
      </w:tr>
      <w:tr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Product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  <w:t>Product info, inventory, pricing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Order, Analytics</w:t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Order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Orders, payments, shipping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Finance, Analytics</w:t>
            </w:r>
          </w:p>
        </w:tc>
      </w:tr>
      <w:tr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Marketing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  <w:t>Campaigns, ads, conversions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Analytics, Product</w:t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Analytics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Cross-domain analytics, dashboards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All domains</w:t>
            </w:r>
          </w:p>
        </w:tc>
      </w:tr>
    </w:tbl>
    <w:p>
      <w:pPr>
        <w:pStyle w:val="Heading3"/>
      </w:pPr>
      <w:r>
        <w:rPr>
          <w:color w:val="2E74B5"/>
        </w:rPr>
        <w:t>Role Definition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Role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Assignee</w:t>
            </w:r>
          </w:p>
        </w:tc>
        <w:tc>
          <w:tcPr>
            <w:tcW w:type="dxa" w:w="3969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Responsibility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Data Product Owner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Vision, priority, quality accountability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Data Engineer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Pipeline design and implementation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Domain Architect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Data architecture within domain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Platform Engineer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Self-serve infrastructure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Data Steward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Data quality and metadata management</w:t>
            </w:r>
          </w:p>
        </w:tc>
      </w:tr>
    </w:tbl>
    <w:p>
      <w:pPr>
        <w:pStyle w:val="Heading2"/>
      </w:pPr>
      <w:r>
        <w:rPr>
          <w:color w:val="2E74B5"/>
        </w:rPr>
        <w:t>Section 2: Data Product Design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Attribute</w:t>
            </w:r>
          </w:p>
        </w:tc>
        <w:tc>
          <w:tcPr>
            <w:tcW w:type="dxa" w:w="6803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Value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Product Name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Domain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URI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  <w:t>dp://[domain]/[product-name]/v1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Output Port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Update Frequency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SLA (Freshness)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SLA (Availability)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SLA (Accuracy)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</w:r>
          </w:p>
        </w:tc>
      </w:tr>
    </w:tbl>
    <w:p>
      <w:pPr>
        <w:pStyle w:val="Heading3"/>
      </w:pPr>
      <w:r>
        <w:rPr>
          <w:color w:val="2E74B5"/>
        </w:rPr>
        <w:t>Schema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Column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Type</w:t>
            </w:r>
          </w:p>
        </w:tc>
        <w:tc>
          <w:tcPr>
            <w:tcW w:type="dxa" w:w="45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Description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PII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4535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4535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4535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</w:tr>
    </w:tbl>
    <w:p>
      <w:pPr>
        <w:pStyle w:val="Heading2"/>
      </w:pPr>
      <w:r>
        <w:rPr>
          <w:color w:val="2E74B5"/>
        </w:rPr>
        <w:t>Section 3: Self-Serve Data Infrastructure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Capability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Tool</w:t>
            </w:r>
          </w:p>
        </w:tc>
        <w:tc>
          <w:tcPr>
            <w:tcW w:type="dxa" w:w="3969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Owner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Data Catalog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Platform Team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Pipeline Templates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Platform Team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Data Quality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Domain Team / Platform Team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Monitoring &amp; Alerting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Platform Team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Access Control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Platform Team (policy)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Lineage Tracking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Platform Team</w:t>
            </w:r>
          </w:p>
        </w:tc>
      </w:tr>
    </w:tbl>
    <w:p>
      <w:pPr>
        <w:pStyle w:val="Heading2"/>
      </w:pPr>
      <w:r>
        <w:rPr>
          <w:color w:val="2E74B5"/>
        </w:rPr>
        <w:t>Section 4: Federated Governance</w:t>
      </w:r>
    </w:p>
    <w:p>
      <w:pPr>
        <w:pStyle w:val="Heading3"/>
      </w:pPr>
      <w:r>
        <w:rPr>
          <w:color w:val="2E74B5"/>
        </w:rPr>
        <w:t>Global Data Standards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Standard</w:t>
            </w:r>
          </w:p>
        </w:tc>
        <w:tc>
          <w:tcPr>
            <w:tcW w:type="dxa" w:w="45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Requirement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Enforcement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Data format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  <w:t>Parquet (batch), Avro (streaming)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CI/CD validation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Schema versioning</w:t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  <w:t>Semantic versioning (v1, v2...)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Catalog registry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PII classification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  <w:t>Tag all PII columns in schema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Automated scanner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Encryption at rest</w:t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  <w:t>AES-256 via CMEK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Platform default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Retention policy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  <w:t>Defined per data classification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Automated lifecycle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SLA definition</w:t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  <w:t>Freshness + Availability + Accuracy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Published in catalog</w:t>
            </w:r>
          </w:p>
        </w:tc>
      </w:tr>
    </w:tbl>
    <w:p>
      <w:pPr>
        <w:pStyle w:val="Heading3"/>
      </w:pPr>
      <w:r>
        <w:rPr>
          <w:color w:val="2E74B5"/>
        </w:rPr>
        <w:t>Data Quality Standards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Dimension</w:t>
            </w:r>
          </w:p>
        </w:tc>
        <w:tc>
          <w:tcPr>
            <w:tcW w:type="dxa" w:w="45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Minimum Threshold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Measurement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Completeness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  <w:t>&gt; 99% non-null on key fields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Great Expectations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Accuracy</w:t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  <w:t>&lt; 0.1% anomaly rate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Statistical sampling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Freshness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  <w:t>Within SLA window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Catalog metadata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Uniqueness</w:t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  <w:t>0 duplicate primary keys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dbt tests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