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2E74B5"/>
        </w:rPr>
        <w:t>英語データメッシュ設計書</w:t>
      </w:r>
    </w:p>
    <w:p>
      <w:pPr>
        <w:pStyle w:val="Heading2"/>
      </w:pPr>
      <w:r>
        <w:rPr>
          <w:color w:val="2E74B5"/>
        </w:rPr>
        <w:t>Section 1: ドメイン所有権とスコープ</w:t>
      </w:r>
    </w:p>
    <w:p>
      <w:r>
        <w:t>アーキテクチャパターン: データメッシュ（ドメイン分散型）</w:t>
      </w:r>
    </w:p>
    <w:p>
      <w:pPr>
        <w:pStyle w:val="Heading3"/>
      </w:pPr>
      <w:r>
        <w:rPr>
          <w:color w:val="2E74B5"/>
        </w:rPr>
        <w:t>ドメイン定義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ドメイン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所有チーム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主なデータ資産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利用ドメイン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顧客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顧客プロファイル・行動履歴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マーケティング・分析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商品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商品情報・在庫・価格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注文・分析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注文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注文・決済・配送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財務・分析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マーケティング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キャンペーン・広告・コンバージョン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分析・商品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分析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横断分析・ダッシュボード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全ドメイン</w:t>
            </w:r>
          </w:p>
        </w:tc>
      </w:tr>
    </w:tbl>
    <w:p>
      <w:pPr>
        <w:pStyle w:val="Heading3"/>
      </w:pPr>
      <w:r>
        <w:rPr>
          <w:color w:val="2E74B5"/>
        </w:rPr>
        <w:t>役割定義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役割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担当者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責任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データプロダクトオーナー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ビジョン・優先度・品質責任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データエンジニア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パイプライン設計・実装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ドメインアーキテクト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データアーキテクチャ設計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プラットフォームエンジニア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セルフサービスインフラ構築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データスチュワード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データ品質・メタデータ管理</w:t>
            </w:r>
          </w:p>
        </w:tc>
      </w:tr>
    </w:tbl>
    <w:p>
      <w:pPr>
        <w:pStyle w:val="Heading2"/>
      </w:pPr>
      <w:r>
        <w:rPr>
          <w:color w:val="2E74B5"/>
        </w:rPr>
        <w:t>Section 2: データプロダクト設計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プロダクト名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ドメイン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URI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dp://[domain]/[product-name]/v1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出力ポート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更新頻度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SLA（鮮度）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SLA（可用性）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SLA（精度）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>
      <w:pPr>
        <w:pStyle w:val="Heading3"/>
      </w:pPr>
      <w:r>
        <w:rPr>
          <w:color w:val="2E74B5"/>
        </w:rPr>
        <w:t>スキーマ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カラム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型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説明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PII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>
      <w:pPr>
        <w:pStyle w:val="Heading2"/>
      </w:pPr>
      <w:r>
        <w:rPr>
          <w:color w:val="2E74B5"/>
        </w:rPr>
        <w:t>Section 3: セルフサービスインフラ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機能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ツール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責任者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データカタログ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プラットフォームチーム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パイプラインテンプレート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プラットフォームチーム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データ品質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ドメインチーム／プラットフォームチーム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監視・アラート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プラットフォームチーム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アクセス制御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プラットフォームチーム（ポリシー）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系譜追跡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プラットフォームチーム</w:t>
            </w:r>
          </w:p>
        </w:tc>
      </w:tr>
    </w:tbl>
    <w:p>
      <w:pPr>
        <w:pStyle w:val="Heading2"/>
      </w:pPr>
      <w:r>
        <w:rPr>
          <w:color w:val="2E74B5"/>
        </w:rPr>
        <w:t>Section 4: 連邦ガバナンス</w:t>
      </w:r>
    </w:p>
    <w:p>
      <w:pPr>
        <w:pStyle w:val="Heading3"/>
      </w:pPr>
      <w:r>
        <w:rPr>
          <w:color w:val="2E74B5"/>
        </w:rPr>
        <w:t>グローバルデータ標準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標準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要件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強制方法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データフォーマット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Parquet（バッチ）・Avro（ストリーミング）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CI/CDバリデーション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スキーマバージョン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セマンティックバージョニング（v1・v2...）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カタログレジストリ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PII分類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PIIカラムにタグ付け必須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自動スキャナー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保存時の暗号化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AES-256（CMEK）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プラットフォームデフォルト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保持ポリシー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データ分類ごとに定義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自動ライフサイクル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SLA定義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鮮度・可用性・精度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カタログに公開</w:t>
            </w:r>
          </w:p>
        </w:tc>
      </w:tr>
    </w:tbl>
    <w:p>
      <w:pPr>
        <w:pStyle w:val="Heading3"/>
      </w:pPr>
      <w:r>
        <w:rPr>
          <w:color w:val="2E74B5"/>
        </w:rPr>
        <w:t>データ品質基準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次元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最低閾値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測定方法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完全性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主要フィールドのnon-null率 &gt; 99%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Great Expectations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精度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異常率 0.1%未満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統計サンプリング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鮮度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SLAウィンドウ内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カタログメタデータ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一意性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主キーの重複 0件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dbtテスト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