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color w:val="2E74B5"/>
        </w:rPr>
        <w:t>InnerSource Plan</w:t>
      </w:r>
    </w:p>
    <w:p>
      <w:pPr>
        <w:pStyle w:val="Heading2"/>
      </w:pPr>
      <w:r>
        <w:rPr>
          <w:color w:val="2E74B5"/>
        </w:rPr>
        <w:t>1. Scope &amp; Governance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Item</w:t>
            </w:r>
          </w:p>
        </w:tc>
        <w:tc>
          <w:tcPr>
            <w:tcW w:type="dxa" w:w="6803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Details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Organization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Date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Author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Effective Date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Repositories in Scope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Repositories Out of Scope</w:t>
            </w:r>
          </w:p>
        </w:tc>
        <w:tc>
          <w:tcPr>
            <w:tcW w:type="dxa" w:w="6803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Contributing Teams</w:t>
            </w:r>
          </w:p>
        </w:tc>
        <w:tc>
          <w:tcPr>
            <w:tcW w:type="dxa" w:w="6803"/>
          </w:tcPr>
          <w:p>
            <w:r>
              <w:rPr>
                <w:sz w:val="20"/>
              </w:rPr>
              <w:t>All engineering teams across all offices</w:t>
            </w:r>
          </w:p>
        </w:tc>
      </w:tr>
    </w:tbl>
    <w:p/>
    <w:p>
      <w:pPr>
        <w:pStyle w:val="Heading3"/>
      </w:pPr>
      <w:r>
        <w:rPr>
          <w:color w:val="2E74B5"/>
        </w:rPr>
        <w:t>Roles and Responsibilities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Role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Assignee</w:t>
            </w:r>
          </w:p>
        </w:tc>
        <w:tc>
          <w:tcPr>
            <w:tcW w:type="dxa" w:w="5102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Responsibility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Repository Owner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Define strategy, approve major changes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Trusted Committer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Review and merge PRs, mentor contributors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Guest Contributor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</w:r>
          </w:p>
        </w:tc>
        <w:tc>
          <w:tcPr>
            <w:tcW w:type="dxa" w:w="5102"/>
          </w:tcPr>
          <w:p>
            <w:r>
              <w:rPr>
                <w:sz w:val="20"/>
              </w:rPr>
              <w:t>Submit PRs for features or bug fixes</w:t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Product Owner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5102"/>
            <w:shd w:val="clear" w:color="auto" w:fill="DEEAF1"/>
          </w:tcPr>
          <w:p>
            <w:r>
              <w:rPr>
                <w:sz w:val="20"/>
              </w:rPr>
              <w:t>Manage roadmap and prioritize backlog</w:t>
            </w:r>
          </w:p>
        </w:tc>
      </w:tr>
    </w:tbl>
    <w:p>
      <w:pPr>
        <w:pStyle w:val="Heading2"/>
      </w:pPr>
      <w:r>
        <w:rPr>
          <w:color w:val="2E74B5"/>
        </w:rPr>
        <w:t>2. Repository Structure</w:t>
      </w:r>
    </w:p>
    <w:p>
      <w:pPr>
        <w:pStyle w:val="Heading3"/>
      </w:pPr>
      <w:r>
        <w:rPr>
          <w:color w:val="2E74B5"/>
        </w:rPr>
        <w:t>Required Files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File</w:t>
            </w:r>
          </w:p>
        </w:tc>
        <w:tc>
          <w:tcPr>
            <w:tcW w:type="dxa" w:w="45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Purpose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Status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README.md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Project overview and usage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CONTRIBUTING.md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Contribution guidelines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CODE_OF_CONDUCT.md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Community standards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CODEOWNERS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Designated reviewers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CHANGELOG.md</w:t>
            </w:r>
          </w:p>
        </w:tc>
        <w:tc>
          <w:tcPr>
            <w:tcW w:type="dxa" w:w="4535"/>
          </w:tcPr>
          <w:p>
            <w:r>
              <w:rPr>
                <w:sz w:val="20"/>
              </w:rPr>
              <w:t>Version history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LICENSE</w:t>
            </w:r>
          </w:p>
        </w:tc>
        <w:tc>
          <w:tcPr>
            <w:tcW w:type="dxa" w:w="4535"/>
            <w:shd w:val="clear" w:color="auto" w:fill="DEEAF1"/>
          </w:tcPr>
          <w:p>
            <w:r>
              <w:rPr>
                <w:sz w:val="20"/>
              </w:rPr>
              <w:t>Internal license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</w:tbl>
    <w:p>
      <w:pPr>
        <w:pStyle w:val="Heading2"/>
      </w:pPr>
      <w:r>
        <w:rPr>
          <w:color w:val="2E74B5"/>
        </w:rPr>
        <w:t>3. Contribution Process</w:t>
      </w:r>
    </w:p>
    <w:p>
      <w:pPr>
        <w:pStyle w:val="Heading3"/>
      </w:pPr>
      <w:r>
        <w:rPr>
          <w:color w:val="2E74B5"/>
        </w:rPr>
        <w:t>Workflow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1134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Step</w:t>
            </w:r>
          </w:p>
        </w:tc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Action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Owner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1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Identify issue and create an issue ticket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Guest Contributor</w:t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2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Consult with the Trusted Committer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Guest Contributor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3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Fork and create a feature branch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Guest Contributor</w:t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4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Implement changes and write tests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Guest Contributor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5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Submit a pull request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Guest Contributor</w:t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6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Code review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Trusted Committer</w:t>
            </w:r>
          </w:p>
        </w:tc>
      </w:tr>
      <w:tr>
        <w:tc>
          <w:tcPr>
            <w:tcW w:type="dxa" w:w="1134"/>
          </w:tcPr>
          <w:p>
            <w:r>
              <w:rPr>
                <w:sz w:val="20"/>
              </w:rPr>
              <w:t>7</w:t>
            </w:r>
          </w:p>
        </w:tc>
        <w:tc>
          <w:tcPr>
            <w:tcW w:type="dxa" w:w="3969"/>
          </w:tcPr>
          <w:p>
            <w:r>
              <w:rPr>
                <w:sz w:val="20"/>
              </w:rPr>
              <w:t>Address review comments</w:t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Both</w:t>
            </w:r>
          </w:p>
        </w:tc>
      </w:tr>
      <w:tr>
        <w:tc>
          <w:tcPr>
            <w:tcW w:type="dxa" w:w="1134"/>
            <w:shd w:val="clear" w:color="auto" w:fill="DEEAF1"/>
          </w:tcPr>
          <w:p>
            <w:r>
              <w:rPr>
                <w:sz w:val="20"/>
              </w:rPr>
              <w:t>8</w:t>
            </w:r>
          </w:p>
        </w:tc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Merge and deploy</w:t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Trusted Committer</w:t>
            </w:r>
          </w:p>
        </w:tc>
      </w:tr>
    </w:tbl>
    <w:p>
      <w:pPr>
        <w:pStyle w:val="Heading3"/>
      </w:pPr>
      <w:r>
        <w:rPr>
          <w:color w:val="2E74B5"/>
        </w:rPr>
        <w:t>PR Checklist</w:t>
      </w:r>
    </w:p>
    <w:p>
      <w:pPr>
        <w:pStyle w:val="ListBullet"/>
      </w:pPr>
      <w:r>
        <w:t>Code follows the coding standards</w:t>
      </w:r>
    </w:p>
    <w:p>
      <w:pPr>
        <w:pStyle w:val="ListBullet"/>
      </w:pPr>
      <w:r>
        <w:t>Unit tests are added or updated</w:t>
      </w:r>
    </w:p>
    <w:p>
      <w:pPr>
        <w:pStyle w:val="ListBullet"/>
      </w:pPr>
      <w:r>
        <w:t>All CI checks pass</w:t>
      </w:r>
    </w:p>
    <w:p>
      <w:pPr>
        <w:pStyle w:val="ListBullet"/>
      </w:pPr>
      <w:r>
        <w:t>CHANGELOG.md is updated</w:t>
      </w:r>
    </w:p>
    <w:p>
      <w:pPr>
        <w:pStyle w:val="ListBullet"/>
      </w:pPr>
      <w:r>
        <w:t>Breaking changes are documented (if any)</w:t>
      </w:r>
    </w:p>
    <w:p>
      <w:pPr>
        <w:pStyle w:val="Heading2"/>
      </w:pPr>
      <w:r>
        <w:rPr>
          <w:color w:val="2E74B5"/>
        </w:rPr>
        <w:t>4. Community &amp; Communication</w:t>
      </w:r>
    </w:p>
    <w:p>
      <w:pPr>
        <w:pStyle w:val="Heading3"/>
      </w:pPr>
      <w:r>
        <w:rPr>
          <w:color w:val="2E74B5"/>
        </w:rPr>
        <w:t>Slack Channels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39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Channel</w:t>
            </w:r>
          </w:p>
        </w:tc>
        <w:tc>
          <w:tcPr>
            <w:tcW w:type="dxa" w:w="5669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Purpose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  <w:t>#innersource-announce</w:t>
            </w:r>
          </w:p>
        </w:tc>
        <w:tc>
          <w:tcPr>
            <w:tcW w:type="dxa" w:w="5669"/>
          </w:tcPr>
          <w:p>
            <w:r>
              <w:rPr>
                <w:sz w:val="20"/>
              </w:rPr>
              <w:t>Announcements from Repository Owners</w:t>
            </w:r>
          </w:p>
        </w:tc>
      </w:tr>
      <w:tr>
        <w:tc>
          <w:tcPr>
            <w:tcW w:type="dxa" w:w="3969"/>
            <w:shd w:val="clear" w:color="auto" w:fill="DEEAF1"/>
          </w:tcPr>
          <w:p>
            <w:r>
              <w:rPr>
                <w:sz w:val="20"/>
              </w:rPr>
              <w:t>#innersource-support</w:t>
            </w:r>
          </w:p>
        </w:tc>
        <w:tc>
          <w:tcPr>
            <w:tcW w:type="dxa" w:w="5669"/>
            <w:shd w:val="clear" w:color="auto" w:fill="DEEAF1"/>
          </w:tcPr>
          <w:p>
            <w:r>
              <w:rPr>
                <w:sz w:val="20"/>
              </w:rPr>
              <w:t>Q&amp;A for Guest Contributors</w:t>
            </w:r>
          </w:p>
        </w:tc>
      </w:tr>
      <w:tr>
        <w:tc>
          <w:tcPr>
            <w:tcW w:type="dxa" w:w="3969"/>
          </w:tcPr>
          <w:p>
            <w:r>
              <w:rPr>
                <w:sz w:val="20"/>
              </w:rPr>
              <w:t>#innersource-reviews</w:t>
            </w:r>
          </w:p>
        </w:tc>
        <w:tc>
          <w:tcPr>
            <w:tcW w:type="dxa" w:w="5669"/>
          </w:tcPr>
          <w:p>
            <w:r>
              <w:rPr>
                <w:sz w:val="20"/>
              </w:rPr>
              <w:t>PR review requests and discussions</w:t>
            </w:r>
          </w:p>
        </w:tc>
      </w:tr>
    </w:tbl>
    <w:p/>
    <w:p>
      <w:pPr>
        <w:pStyle w:val="Heading3"/>
      </w:pPr>
      <w:r>
        <w:rPr>
          <w:color w:val="2E74B5"/>
        </w:rPr>
        <w:t>KPI Metrics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Metric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Target</w:t>
            </w:r>
          </w:p>
        </w:tc>
        <w:tc>
          <w:tcPr>
            <w:tcW w:type="dxa" w:w="2835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How to Measure</w:t>
            </w:r>
          </w:p>
        </w:tc>
        <w:tc>
          <w:tcPr>
            <w:tcW w:type="dxa" w:w="2268"/>
            <w:shd w:val="clear" w:color="auto" w:fill="2E74B5"/>
          </w:tcPr>
          <w:p>
            <w:pPr>
              <w:jc w:val="center"/>
            </w:pPr>
            <w:r>
              <w:rPr>
                <w:b/>
                <w:color w:val="FFFFFF"/>
                <w:sz w:val="20"/>
              </w:rPr>
              <w:t>Current</w:t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Guest PRs per month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GitHub PR list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PR merge rate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Merged ÷ submitted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Avg. review turnaround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PR open to merge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Active contributors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  <w:tc>
          <w:tcPr>
            <w:tcW w:type="dxa" w:w="2835"/>
            <w:shd w:val="clear" w:color="auto" w:fill="DEEAF1"/>
          </w:tcPr>
          <w:p>
            <w:r>
              <w:rPr>
                <w:sz w:val="20"/>
              </w:rPr>
              <w:t>Monthly committers</w:t>
            </w:r>
          </w:p>
        </w:tc>
        <w:tc>
          <w:tcPr>
            <w:tcW w:type="dxa" w:w="2268"/>
            <w:shd w:val="clear" w:color="auto" w:fill="DEEAF1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2835"/>
          </w:tcPr>
          <w:p>
            <w:r>
              <w:rPr>
                <w:sz w:val="20"/>
              </w:rPr>
              <w:t>Documentation coverage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  <w:tc>
          <w:tcPr>
            <w:tcW w:type="dxa" w:w="2835"/>
          </w:tcPr>
          <w:p>
            <w:r>
              <w:rPr>
                <w:sz w:val="20"/>
              </w:rPr>
              <w:t>Wiki update frequency</w:t>
            </w:r>
          </w:p>
        </w:tc>
        <w:tc>
          <w:tcPr>
            <w:tcW w:type="dxa" w:w="2268"/>
          </w:tcPr>
          <w:p>
            <w:r>
              <w:rPr>
                <w:sz w:val="20"/>
              </w:rPr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