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Procurement Management Plan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2835"/>
            <w:shd w:val="clear" w:color="auto" w:fill="D6E4F0"/>
          </w:tcPr>
          <w:p>
            <w:r>
              <w:t>Project Name</w:t>
            </w:r>
          </w:p>
        </w:tc>
        <w:tc>
          <w:tcPr>
            <w:tcW w:type="dxa" w:w="6236"/>
          </w:tcPr>
          <w:p>
            <w:r>
              <w:t>[System] Development Project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Prepared By</w:t>
            </w:r>
          </w:p>
        </w:tc>
        <w:tc>
          <w:tcPr>
            <w:tcW w:type="dxa" w:w="6236"/>
          </w:tcPr>
          <w:p>
            <w:r>
              <w:t>[Name], Procurement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Date</w:t>
            </w:r>
          </w:p>
        </w:tc>
        <w:tc>
          <w:tcPr>
            <w:tcW w:type="dxa" w:w="6236"/>
          </w:tcPr>
          <w:p>
            <w:r>
              <w:t>[Date]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Version</w:t>
            </w:r>
          </w:p>
        </w:tc>
        <w:tc>
          <w:tcPr>
            <w:tcW w:type="dxa" w:w="6236"/>
          </w:tcPr>
          <w:p>
            <w:r>
              <w:t>v1.0</w:t>
            </w:r>
          </w:p>
        </w:tc>
      </w:tr>
      <w:tr>
        <w:tc>
          <w:tcPr>
            <w:tcW w:type="dxa" w:w="2835"/>
            <w:shd w:val="clear" w:color="auto" w:fill="D6E4F0"/>
          </w:tcPr>
          <w:p>
            <w:r>
              <w:t>Approved By</w:t>
            </w:r>
          </w:p>
        </w:tc>
        <w:tc>
          <w:tcPr>
            <w:tcW w:type="dxa" w:w="6236"/>
          </w:tcPr>
          <w:p>
            <w:r>
              <w:t>[Name], PM</w:t>
            </w:r>
          </w:p>
        </w:tc>
      </w:tr>
    </w:tbl>
    <w:p/>
    <w:p>
      <w:pPr>
        <w:pStyle w:val="Heading1"/>
      </w:pPr>
      <w:r>
        <w:rPr>
          <w:color w:val="2E74B5"/>
        </w:rPr>
        <w:t>Procurement Requirements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c>
          <w:tcPr>
            <w:tcW w:type="dxa" w:w="850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No.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Item / Service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Type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Est. Cost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Timing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Priority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1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Cloud infrastructure (AWS)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SaaS/IaaS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¥500K/month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Project start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2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Development support (external engineers)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Staffing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¥2M/month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Phase 2 start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3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Security assessment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One-time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¥3M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3 months before release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850"/>
            <w:shd w:val="clear" w:color="auto" w:fill="DEEAF1"/>
          </w:tcPr>
          <w:p>
            <w:r>
              <w:rPr>
                <w:sz w:val="20"/>
              </w:rPr>
              <w:t>4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Monitoring tool (Datadog, etc.)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SaaS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¥300K/month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Testing phase start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</w:tr>
      <w:tr>
        <w:tc>
          <w:tcPr>
            <w:tcW w:type="dxa" w:w="850"/>
          </w:tcPr>
          <w:p>
            <w:r>
              <w:rPr>
                <w:sz w:val="20"/>
              </w:rPr>
              <w:t>5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Translation / localization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One-time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¥1M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After UI design finalized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Low</w:t>
            </w:r>
          </w:p>
        </w:tc>
      </w:tr>
    </w:tbl>
    <w:p/>
    <w:p>
      <w:pPr>
        <w:pStyle w:val="Heading1"/>
      </w:pPr>
      <w:r>
        <w:rPr>
          <w:color w:val="2E74B5"/>
        </w:rPr>
        <w:t>Vendor Selection Process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70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Step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226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Est. Duration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1. Requirements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Finalize procurement requirements and evaluation criteria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 + Procurement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1–2 weeks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2. RFP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Send RFP to candidate vendors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Procurement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1 week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3. Proposals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Receive proposals and quotes from vendors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Procurement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2–3 weeks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4. Evaluation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Compare and score vendors against evaluation criteria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Evaluation Committee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1–2 weeks</w:t>
            </w:r>
          </w:p>
        </w:tc>
      </w:tr>
      <w:tr>
        <w:tc>
          <w:tcPr>
            <w:tcW w:type="dxa" w:w="1701"/>
          </w:tcPr>
          <w:p>
            <w:r>
              <w:rPr>
                <w:sz w:val="20"/>
              </w:rPr>
              <w:t>5. Negotiation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Negotiate terms with the final candidate vendor</w:t>
            </w:r>
          </w:p>
        </w:tc>
        <w:tc>
          <w:tcPr>
            <w:tcW w:type="dxa" w:w="2268"/>
          </w:tcPr>
          <w:p>
            <w:r>
              <w:rPr>
                <w:sz w:val="20"/>
              </w:rPr>
              <w:t>PM + Procurement + Legal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1–2 weeks</w:t>
            </w:r>
          </w:p>
        </w:tc>
      </w:tr>
      <w:tr>
        <w:tc>
          <w:tcPr>
            <w:tcW w:type="dxa" w:w="1701"/>
            <w:shd w:val="clear" w:color="auto" w:fill="DEEAF1"/>
          </w:tcPr>
          <w:p>
            <w:r>
              <w:rPr>
                <w:sz w:val="20"/>
              </w:rPr>
              <w:t>6. Contract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Sign the contract and finalize the procurement</w:t>
            </w:r>
          </w:p>
        </w:tc>
        <w:tc>
          <w:tcPr>
            <w:tcW w:type="dxa" w:w="2268"/>
            <w:shd w:val="clear" w:color="auto" w:fill="DEEAF1"/>
          </w:tcPr>
          <w:p>
            <w:r>
              <w:rPr>
                <w:sz w:val="20"/>
              </w:rPr>
              <w:t>PM + Legal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1 week</w:t>
            </w:r>
          </w:p>
        </w:tc>
      </w:tr>
    </w:tbl>
    <w:p/>
    <w:p>
      <w:pPr>
        <w:pStyle w:val="Heading1"/>
      </w:pPr>
      <w:r>
        <w:rPr>
          <w:color w:val="2E74B5"/>
        </w:rPr>
        <w:t>Vendor Evaluation Criteria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Criterion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Weight</w:t>
            </w:r>
          </w:p>
        </w:tc>
        <w:tc>
          <w:tcPr>
            <w:tcW w:type="dxa" w:w="5386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Evaluation Method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Technical capability and track record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30%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Proposal content, past projects, reference checks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Cost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25%</w:t>
            </w:r>
          </w:p>
        </w:tc>
        <w:tc>
          <w:tcPr>
            <w:tcW w:type="dxa" w:w="5386"/>
            <w:shd w:val="clear" w:color="auto" w:fill="DEEAF1"/>
          </w:tcPr>
          <w:p>
            <w:r>
              <w:rPr>
                <w:sz w:val="20"/>
              </w:rPr>
              <w:t>Quote amount, TCO comparison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Support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20%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Response hours, SLA, engineer expertise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Security and compliance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15%</w:t>
            </w:r>
          </w:p>
        </w:tc>
        <w:tc>
          <w:tcPr>
            <w:tcW w:type="dxa" w:w="5386"/>
            <w:shd w:val="clear" w:color="auto" w:fill="DEEAF1"/>
          </w:tcPr>
          <w:p>
            <w:r>
              <w:rPr>
                <w:sz w:val="20"/>
              </w:rPr>
              <w:t>ISO certification, security measures, GDPR compliance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Financial stability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10%</w:t>
            </w:r>
          </w:p>
        </w:tc>
        <w:tc>
          <w:tcPr>
            <w:tcW w:type="dxa" w:w="5386"/>
          </w:tcPr>
          <w:p>
            <w:r>
              <w:rPr>
                <w:sz w:val="20"/>
              </w:rPr>
              <w:t>Revenue size, years in business, credit check</w:t>
            </w:r>
          </w:p>
        </w:tc>
      </w:tr>
    </w:tbl>
    <w:p/>
    <w:p>
      <w:pPr>
        <w:pStyle w:val="Heading1"/>
      </w:pPr>
      <w:r>
        <w:rPr>
          <w:color w:val="2E74B5"/>
        </w:rPr>
        <w:t>Contract Management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Area</w:t>
            </w:r>
          </w:p>
        </w:tc>
        <w:tc>
          <w:tcPr>
            <w:tcW w:type="dxa" w:w="3118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Action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Owner</w:t>
            </w:r>
          </w:p>
        </w:tc>
        <w:tc>
          <w:tcPr>
            <w:tcW w:type="dxa" w:w="198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Frequency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Deliverable review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Confirm deliverables and milestone completion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PM + Procurement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Monthly / at milestones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Payment management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Review invoices and process payments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Procurement + Finance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Monthly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SLA monitoring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Confirm vendor SLA compliance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Procurement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Monthly</w:t>
            </w:r>
          </w:p>
        </w:tc>
      </w:tr>
      <w:tr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Contract change management</w:t>
            </w:r>
          </w:p>
        </w:tc>
        <w:tc>
          <w:tcPr>
            <w:tcW w:type="dxa" w:w="3118"/>
            <w:shd w:val="clear" w:color="auto" w:fill="DEEAF1"/>
          </w:tcPr>
          <w:p>
            <w:r>
              <w:rPr>
                <w:sz w:val="20"/>
              </w:rPr>
              <w:t>Process scope or cost changes via change management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PM + Legal</w:t>
            </w:r>
          </w:p>
        </w:tc>
        <w:tc>
          <w:tcPr>
            <w:tcW w:type="dxa" w:w="1984"/>
            <w:shd w:val="clear" w:color="auto" w:fill="DEEAF1"/>
          </w:tcPr>
          <w:p>
            <w:r>
              <w:rPr>
                <w:sz w:val="20"/>
              </w:rPr>
              <w:t>As needed</w:t>
            </w:r>
          </w:p>
        </w:tc>
      </w:tr>
      <w:tr>
        <w:tc>
          <w:tcPr>
            <w:tcW w:type="dxa" w:w="1984"/>
          </w:tcPr>
          <w:p>
            <w:r>
              <w:rPr>
                <w:sz w:val="20"/>
              </w:rPr>
              <w:t>Contract expiry management</w:t>
            </w:r>
          </w:p>
        </w:tc>
        <w:tc>
          <w:tcPr>
            <w:tcW w:type="dxa" w:w="3118"/>
          </w:tcPr>
          <w:p>
            <w:r>
              <w:rPr>
                <w:sz w:val="20"/>
              </w:rPr>
              <w:t>Track contract terms and renewal deadlines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Procurement</w:t>
            </w:r>
          </w:p>
        </w:tc>
        <w:tc>
          <w:tcPr>
            <w:tcW w:type="dxa" w:w="1984"/>
          </w:tcPr>
          <w:p>
            <w:r>
              <w:rPr>
                <w:sz w:val="20"/>
              </w:rPr>
              <w:t>Quarterly</w:t>
            </w:r>
          </w:p>
        </w:tc>
      </w:tr>
    </w:tbl>
    <w:p/>
    <w:p>
      <w:pPr>
        <w:pStyle w:val="Heading1"/>
      </w:pPr>
      <w:r>
        <w:rPr>
          <w:color w:val="2E74B5"/>
        </w:rPr>
        <w:t>Procurement Risk Register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551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Risk</w:t>
            </w:r>
          </w:p>
        </w:tc>
        <w:tc>
          <w:tcPr>
            <w:tcW w:type="dxa" w:w="1417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Likelihood</w:t>
            </w:r>
          </w:p>
        </w:tc>
        <w:tc>
          <w:tcPr>
            <w:tcW w:type="dxa" w:w="1134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Impact</w:t>
            </w:r>
          </w:p>
        </w:tc>
        <w:tc>
          <w:tcPr>
            <w:tcW w:type="dxa" w:w="3969"/>
            <w:shd w:val="clear" w:color="auto" w:fill="2E74B5"/>
          </w:tcPr>
          <w:p>
            <w:pPr>
              <w:jc w:val="center"/>
            </w:pPr>
            <w:r>
              <w:rPr>
                <w:b/>
                <w:color w:val="FFFFFF"/>
                <w:sz w:val="20"/>
              </w:rPr>
              <w:t>Mitigation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Vendor bankruptcy or service termination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Pre-select alternative vendors; confirm data export procedures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Delivery delay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Include penalty clauses in contract; build in buffer time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Security incident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Low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High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Require security assessment; include incident response clauses in contract</w:t>
            </w:r>
          </w:p>
        </w:tc>
      </w:tr>
      <w:tr>
        <w:tc>
          <w:tcPr>
            <w:tcW w:type="dxa" w:w="2551"/>
            <w:shd w:val="clear" w:color="auto" w:fill="DEEAF1"/>
          </w:tcPr>
          <w:p>
            <w:r>
              <w:rPr>
                <w:sz w:val="20"/>
              </w:rPr>
              <w:t>Cost overrun</w:t>
            </w:r>
          </w:p>
        </w:tc>
        <w:tc>
          <w:tcPr>
            <w:tcW w:type="dxa" w:w="1417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1134"/>
            <w:shd w:val="clear" w:color="auto" w:fill="DEEAF1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3969"/>
            <w:shd w:val="clear" w:color="auto" w:fill="DEEAF1"/>
          </w:tcPr>
          <w:p>
            <w:r>
              <w:rPr>
                <w:sz w:val="20"/>
              </w:rPr>
              <w:t>Monthly cost tracking; set budget alert thresholds</w:t>
            </w:r>
          </w:p>
        </w:tc>
      </w:tr>
      <w:tr>
        <w:tc>
          <w:tcPr>
            <w:tcW w:type="dxa" w:w="2551"/>
          </w:tcPr>
          <w:p>
            <w:r>
              <w:rPr>
                <w:sz w:val="20"/>
              </w:rPr>
              <w:t>Vendor lock-in</w:t>
            </w:r>
          </w:p>
        </w:tc>
        <w:tc>
          <w:tcPr>
            <w:tcW w:type="dxa" w:w="1417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1134"/>
          </w:tcPr>
          <w:p>
            <w:r>
              <w:rPr>
                <w:sz w:val="20"/>
              </w:rPr>
              <w:t>Medium</w:t>
            </w:r>
          </w:p>
        </w:tc>
        <w:tc>
          <w:tcPr>
            <w:tcW w:type="dxa" w:w="3969"/>
          </w:tcPr>
          <w:p>
            <w:r>
              <w:rPr>
                <w:sz w:val="20"/>
              </w:rPr>
              <w:t>Multi-vendor strategy; ensure data portability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