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リスク管理計画書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プロジェクト名</w:t>
            </w:r>
          </w:p>
        </w:tc>
        <w:tc>
          <w:tcPr>
            <w:tcW w:type="dxa" w:w="6236"/>
          </w:tcPr>
          <w:p>
            <w:r>
              <w:t>〇〇システム開発プロジェクト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作成者</w:t>
            </w:r>
          </w:p>
        </w:tc>
        <w:tc>
          <w:tcPr>
            <w:tcW w:type="dxa" w:w="6236"/>
          </w:tcPr>
          <w:p>
            <w:r>
              <w:t>〇〇（PM）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作成日</w:t>
            </w:r>
          </w:p>
        </w:tc>
        <w:tc>
          <w:tcPr>
            <w:tcW w:type="dxa" w:w="6236"/>
          </w:tcPr>
          <w:p>
            <w:r>
              <w:t>〇〇〇〇年〇月〇日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バージョン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承認者</w:t>
            </w:r>
          </w:p>
        </w:tc>
        <w:tc>
          <w:tcPr>
            <w:tcW w:type="dxa" w:w="6236"/>
          </w:tcPr>
          <w:p>
            <w:r>
              <w:t>〇〇（PMO）</w:t>
            </w:r>
          </w:p>
        </w:tc>
      </w:tr>
    </w:tbl>
    <w:p/>
    <w:p>
      <w:pPr>
        <w:pStyle w:val="Heading1"/>
      </w:pPr>
      <w:r>
        <w:rPr>
          <w:color w:val="2E74B5"/>
        </w:rPr>
        <w:t>リスク特定方針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項目</w:t>
            </w:r>
          </w:p>
        </w:tc>
        <w:tc>
          <w:tcPr>
            <w:tcW w:type="dxa" w:w="6803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リスク特定方法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ブレインストーミング / チェックリスト / 過去プロジェクトの教訓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特定のタイミング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プロジェクト開始時・各フェーズ開始時・月次レビュー時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リスク記録ツール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Confluenceのリスク登録簿（Risk Register）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リスクオーナー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各リスクに1名のオーナーを割り当てる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リスクカテゴリ</w:t>
            </w:r>
          </w:p>
        </w:tc>
        <w:tc>
          <w:tcPr>
            <w:tcW w:type="dxa" w:w="6803"/>
          </w:tcPr>
          <w:p>
            <w:r>
              <w:rPr>
                <w:sz w:val="20"/>
              </w:rPr>
              <w:t>技術・スケジュール・コスト・リソース・外部・ステークホルダー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レビュー頻度</w:t>
            </w:r>
          </w:p>
        </w:tc>
        <w:tc>
          <w:tcPr>
            <w:tcW w:type="dxa" w:w="6803"/>
            <w:shd w:val="clear" w:color="auto" w:fill="DEEAF1"/>
          </w:tcPr>
          <w:p>
            <w:r>
              <w:rPr>
                <w:sz w:val="20"/>
              </w:rPr>
              <w:t>月次（月末にリスクレビュー会議を実施）</w:t>
            </w:r>
          </w:p>
        </w:tc>
      </w:tr>
    </w:tbl>
    <w:p/>
    <w:p>
      <w:pPr>
        <w:pStyle w:val="Heading1"/>
      </w:pPr>
      <w:r>
        <w:rPr>
          <w:color w:val="2E74B5"/>
        </w:rPr>
        <w:t>確率影響マトリクス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確率 \ 影響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低（1）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中（2）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高（3）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高（3）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中（3）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高（6）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最高（9）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中（2）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低（2）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中（4）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高（6）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低（1）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最低（1）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低（2）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中（3）</w:t>
            </w:r>
          </w:p>
        </w:tc>
      </w:tr>
    </w:tbl>
    <w:p/>
    <w:p>
      <w:pPr>
        <w:pStyle w:val="Heading1"/>
      </w:pPr>
      <w:r>
        <w:rPr>
          <w:color w:val="2E74B5"/>
        </w:rPr>
        <w:t>優先度と対応方針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スコア</w:t>
            </w:r>
          </w:p>
        </w:tc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優先度</w:t>
            </w:r>
          </w:p>
        </w:tc>
        <w:tc>
          <w:tcPr>
            <w:tcW w:type="dxa" w:w="56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対応方針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7〜9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最高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即時に対応策を実施し、PMOに報告する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4〜6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高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対応策を立案し、週次で監視する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2〜3</w:t>
            </w:r>
          </w:p>
        </w:tc>
        <w:tc>
          <w:tcPr>
            <w:tcW w:type="dxa" w:w="1701"/>
          </w:tcPr>
          <w:p>
            <w:r>
              <w:rPr>
                <w:sz w:val="20"/>
              </w:rPr>
              <w:t>中</w:t>
            </w:r>
          </w:p>
        </w:tc>
        <w:tc>
          <w:tcPr>
            <w:tcW w:type="dxa" w:w="5669"/>
          </w:tcPr>
          <w:p>
            <w:r>
              <w:rPr>
                <w:sz w:val="20"/>
              </w:rPr>
              <w:t>月次で監視する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低</w:t>
            </w:r>
          </w:p>
        </w:tc>
        <w:tc>
          <w:tcPr>
            <w:tcW w:type="dxa" w:w="5669"/>
            <w:shd w:val="clear" w:color="auto" w:fill="DEEAF1"/>
          </w:tcPr>
          <w:p>
            <w:r>
              <w:rPr>
                <w:sz w:val="20"/>
              </w:rPr>
              <w:t>記録のみ。四半期ごとに見直す</w:t>
            </w:r>
          </w:p>
        </w:tc>
      </w:tr>
    </w:tbl>
    <w:p/>
    <w:p>
      <w:pPr>
        <w:pStyle w:val="Heading1"/>
      </w:pPr>
      <w:r>
        <w:rPr>
          <w:color w:val="2E74B5"/>
        </w:rPr>
        <w:t>リスク対応戦略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戦略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適用例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回避（Avoid）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リスクの原因を排除し、発生しないようにする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実績のない技術の採用を中止する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軽減（Mitigate）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リスクの発生確率や影響度を下げる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プロトタイプ作成で技術リスクを確認する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転嫁（Transfer）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リスクを第三者（保険・外部ベンダー）に移転する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SLAのある外部ベンダーに作業を委託する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受容（Accept）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リスクをそのまま受け入れ、顕在化した場合に対処する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コンティンジェンシー予算を確保しておく</w:t>
            </w:r>
          </w:p>
        </w:tc>
      </w:tr>
    </w:tbl>
    <w:p/>
    <w:p>
      <w:pPr>
        <w:pStyle w:val="Heading1"/>
      </w:pPr>
      <w:r>
        <w:rPr>
          <w:color w:val="2E74B5"/>
        </w:rPr>
        <w:t>リスク監視プロセス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活動</w:t>
            </w:r>
          </w:p>
        </w:tc>
        <w:tc>
          <w:tcPr>
            <w:tcW w:type="dxa" w:w="3685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内容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担当</w:t>
            </w:r>
          </w:p>
        </w:tc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頻度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リスクレビュー会議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リスク登録簿を更新し、新しいリスクを特定する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+ チームリード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月次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週次ステータス報告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優先度「高」以上のリスクと対応状況を報告する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毎週金曜日</w:t>
            </w:r>
          </w:p>
        </w:tc>
      </w:tr>
      <w:tr>
        <w:tc>
          <w:tcPr>
            <w:tcW w:type="dxa" w:w="2268"/>
          </w:tcPr>
          <w:p>
            <w:r>
              <w:rPr>
                <w:sz w:val="20"/>
              </w:rPr>
              <w:t>リスクトリガー監視</w:t>
            </w:r>
          </w:p>
        </w:tc>
        <w:tc>
          <w:tcPr>
            <w:tcW w:type="dxa" w:w="3685"/>
          </w:tcPr>
          <w:p>
            <w:r>
              <w:rPr>
                <w:sz w:val="20"/>
              </w:rPr>
              <w:t>特定のリスクが顕在化するトリガー条件を日常的に監視する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リスクオーナー</w:t>
            </w:r>
          </w:p>
        </w:tc>
        <w:tc>
          <w:tcPr>
            <w:tcW w:type="dxa" w:w="850"/>
          </w:tcPr>
          <w:p>
            <w:r>
              <w:rPr>
                <w:sz w:val="20"/>
              </w:rPr>
              <w:t>随時</w:t>
            </w:r>
          </w:p>
        </w:tc>
      </w:tr>
      <w:tr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エスカレーション</w:t>
            </w:r>
          </w:p>
        </w:tc>
        <w:tc>
          <w:tcPr>
            <w:tcW w:type="dxa" w:w="3685"/>
            <w:shd w:val="clear" w:color="auto" w:fill="DEEAF1"/>
          </w:tcPr>
          <w:p>
            <w:r>
              <w:rPr>
                <w:sz w:val="20"/>
              </w:rPr>
              <w:t>優先度「最高」のリスクが顕在化した場合にステークホルダーへ報告する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</w:t>
            </w:r>
          </w:p>
        </w:tc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顕在化時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