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2E74B5"/>
        </w:rPr>
        <w:t>Security Roadmap Plan</w:t>
      </w:r>
    </w:p>
    <w:p>
      <w:pPr>
        <w:pStyle w:val="Heading2"/>
      </w:pPr>
      <w:r>
        <w:rPr>
          <w:color w:val="2E74B5"/>
        </w:rPr>
        <w:t>1. Scope &amp; Governance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Organization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Date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Author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Planning Horizon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Security Framework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NIST Cybersecurity Framework (CSF)</w:t>
            </w:r>
          </w:p>
        </w:tc>
      </w:tr>
    </w:tbl>
    <w:p/>
    <w:p>
      <w:pPr>
        <w:pStyle w:val="Heading3"/>
      </w:pPr>
      <w:r>
        <w:rPr>
          <w:color w:val="2E74B5"/>
        </w:rPr>
        <w:t>Roles and Responsibilities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Role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Assignee</w:t>
            </w:r>
          </w:p>
        </w:tc>
        <w:tc>
          <w:tcPr>
            <w:tcW w:type="dxa" w:w="51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CISO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Overall security strategy and accountability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Security Lead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Design and execute security initiatives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Risk Owner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Manage risks within each business unit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Compliance Officer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Regulatory compliance and audit coordination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Incident Response Team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Detect, contain, and recover from incidents</w:t>
            </w:r>
          </w:p>
        </w:tc>
      </w:tr>
    </w:tbl>
    <w:p>
      <w:pPr>
        <w:pStyle w:val="Heading2"/>
      </w:pPr>
      <w:r>
        <w:rPr>
          <w:color w:val="2E74B5"/>
        </w:rPr>
        <w:t>2. Current State Assessment</w:t>
      </w:r>
    </w:p>
    <w:p>
      <w:pPr>
        <w:pStyle w:val="Heading3"/>
      </w:pPr>
      <w:r>
        <w:rPr>
          <w:color w:val="2E74B5"/>
        </w:rPr>
        <w:t>Security Maturity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Domain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Current Maturity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Target Maturity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Gap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Identity &amp; Access Management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Network Security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Data Protection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Endpoint Security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Incident Response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Cloud Security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3"/>
      </w:pPr>
      <w:r>
        <w:rPr>
          <w:color w:val="2E74B5"/>
        </w:rPr>
        <w:t>Top Risk Register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Risk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Likelihood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Impact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Risk Level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Phishing / social engineering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Critical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Critical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Unpatched third-party software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Excessive privileged access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Unsecured cloud storage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Critical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Lack of MFA on critical systems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</w:tbl>
    <w:p>
      <w:pPr>
        <w:pStyle w:val="Heading2"/>
      </w:pPr>
      <w:r>
        <w:rPr>
          <w:color w:val="2E74B5"/>
        </w:rPr>
        <w:t>3. Roadmap &amp; Initiatives</w:t>
      </w:r>
    </w:p>
    <w:p>
      <w:pPr>
        <w:pStyle w:val="Heading3"/>
      </w:pPr>
      <w:r>
        <w:rPr>
          <w:color w:val="2E74B5"/>
        </w:rPr>
        <w:t>Phase 1: Foundation &amp; Quick Wins (Months 1–6)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Initiative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Priority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Est. Cost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Deploy MFA on all critical systems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Critical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Phishing simulation &amp; training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Patch management automation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Cloud storage audit and remediation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Privileged access review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Critical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Planned</w:t>
            </w:r>
          </w:p>
        </w:tc>
      </w:tr>
    </w:tbl>
    <w:p/>
    <w:p>
      <w:pPr>
        <w:pStyle w:val="Heading3"/>
      </w:pPr>
      <w:r>
        <w:rPr>
          <w:color w:val="2E74B5"/>
        </w:rPr>
        <w:t>Phase 2: Consolidation (Months 7–12)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Initiative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Priority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Est. Cost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Zero Trust network architecture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SIEM deployment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Data classification and DLP rollout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Endpoint Detection &amp; Response (EDR)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Planned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Vendor security assessment program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Planned</w:t>
            </w:r>
          </w:p>
        </w:tc>
      </w:tr>
    </w:tbl>
    <w:p>
      <w:pPr>
        <w:pStyle w:val="Heading2"/>
      </w:pPr>
      <w:r>
        <w:rPr>
          <w:color w:val="2E74B5"/>
        </w:rPr>
        <w:t>4. Metrics &amp; Reporting</w:t>
      </w:r>
    </w:p>
    <w:p>
      <w:pPr>
        <w:pStyle w:val="Heading3"/>
      </w:pPr>
      <w:r>
        <w:rPr>
          <w:color w:val="2E74B5"/>
        </w:rPr>
        <w:t>Security KPIs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KPI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Baseline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Target (6M)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Target (12M)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Measurement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MTTD (Mean Time to Detect)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SIEM dashboard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MTTR (Mean Time to Respond)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Incident tickets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Patch compliance rate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Vulnerability scan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Phishing failure rate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Phishing simulation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MFA coverage rate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IAM dashboard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Critical incidents per quarter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Incident log</w:t>
            </w:r>
          </w:p>
        </w:tc>
      </w:tr>
    </w:tbl>
    <w:p/>
    <w:p>
      <w:pPr>
        <w:pStyle w:val="Heading3"/>
      </w:pPr>
      <w:r>
        <w:rPr>
          <w:color w:val="2E74B5"/>
        </w:rPr>
        <w:t>Reporting Cadence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Report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Audience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Frequency</w:t>
            </w:r>
          </w:p>
        </w:tc>
      </w:tr>
      <w:tr>
        <w:tc>
          <w:tcPr>
            <w:tcW w:type="dxa" w:w="3402"/>
          </w:tcPr>
          <w:p>
            <w:r>
              <w:rPr>
                <w:sz w:val="20"/>
              </w:rPr>
              <w:t>Security Operations Dashboard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Security Team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Daily</w:t>
            </w:r>
          </w:p>
        </w:tc>
      </w:tr>
      <w:tr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Incident Summary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CISO, Security Lead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Weekly</w:t>
            </w:r>
          </w:p>
        </w:tc>
      </w:tr>
      <w:tr>
        <w:tc>
          <w:tcPr>
            <w:tcW w:type="dxa" w:w="3402"/>
          </w:tcPr>
          <w:p>
            <w:r>
              <w:rPr>
                <w:sz w:val="20"/>
              </w:rPr>
              <w:t>Risk &amp; KPI Report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CISO, CTO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Monthly</w:t>
            </w:r>
          </w:p>
        </w:tc>
      </w:tr>
      <w:tr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Executive Security Briefing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Board, CEO, CFO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Quarterly</w:t>
            </w:r>
          </w:p>
        </w:tc>
      </w:tr>
      <w:tr>
        <w:tc>
          <w:tcPr>
            <w:tcW w:type="dxa" w:w="3402"/>
          </w:tcPr>
          <w:p>
            <w:r>
              <w:rPr>
                <w:sz w:val="20"/>
              </w:rPr>
              <w:t>Annual Security Review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All Stakeholders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Annually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