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英語セキュリティロードマップ計画書</w:t>
      </w:r>
    </w:p>
    <w:p>
      <w:pPr>
        <w:pStyle w:val="Heading2"/>
      </w:pPr>
      <w:r>
        <w:rPr>
          <w:color w:val="2E74B5"/>
        </w:rPr>
        <w:t>1. スコープとガバナンス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内容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組織名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作成日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作成者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計画期間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セキュリティフレームワーク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NISTサイバーセキュリティフレームワーク（CSF）</w:t>
            </w:r>
          </w:p>
        </w:tc>
      </w:tr>
    </w:tbl>
    <w:p/>
    <w:p>
      <w:pPr>
        <w:pStyle w:val="Heading3"/>
      </w:pPr>
      <w:r>
        <w:rPr>
          <w:color w:val="2E74B5"/>
        </w:rPr>
        <w:t>役割定義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役割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責任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CISO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セキュリティ戦略の最終責任者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Security Lead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施策の設計・実行管理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Risk Owner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各部門のリスク管理責任者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Compliance Officer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規制対応・監査窓口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Incident Response Team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検知・封じ込め・回復</w:t>
            </w:r>
          </w:p>
        </w:tc>
      </w:tr>
    </w:tbl>
    <w:p>
      <w:pPr>
        <w:pStyle w:val="Heading2"/>
      </w:pPr>
      <w:r>
        <w:rPr>
          <w:color w:val="2E74B5"/>
        </w:rPr>
        <w:t>2. 現状評価</w:t>
      </w:r>
    </w:p>
    <w:p>
      <w:pPr>
        <w:pStyle w:val="Heading3"/>
      </w:pPr>
      <w:r>
        <w:rPr>
          <w:color w:val="2E74B5"/>
        </w:rPr>
        <w:t>セキュリティ成熟度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ドメイン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現在の成熟度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目標成熟度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ギャップ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ID・アクセス管理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ネットワークセキュリティ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データ保護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エンドポイントセキュリティ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インシデント対応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クラウドセキュリティ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3"/>
      </w:pPr>
      <w:r>
        <w:rPr>
          <w:color w:val="2E74B5"/>
        </w:rPr>
        <w:t>トップリスク一覧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リスク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発生可能性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影響度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リスクレベル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オーナー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フィッシング・ソーシャルエンジニアリング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重大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サードパーティソフトウェアの未パッチ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中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過剰な特権アクセス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保護されていないクラウドストレージ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中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重大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重要システムへのMFA未適用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高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3. ロードマップ（フェーズ別施策）</w:t>
      </w:r>
    </w:p>
    <w:p>
      <w:pPr>
        <w:pStyle w:val="Heading3"/>
      </w:pPr>
      <w:r>
        <w:rPr>
          <w:color w:val="2E74B5"/>
        </w:rPr>
        <w:t>Phase 1: 基盤整備とQuick Wins（1〜6ヶ月）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施策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オーナー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概算コスト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重要システム全体へのMFA展開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フィッシングシミュレーション・研修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パッチ管理の自動化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クラウドストレージ監査と是正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特権アクセスレビュー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</w:tbl>
    <w:p/>
    <w:p>
      <w:pPr>
        <w:pStyle w:val="Heading3"/>
      </w:pPr>
      <w:r>
        <w:rPr>
          <w:color w:val="2E74B5"/>
        </w:rPr>
        <w:t>Phase 2: 基盤強化（7〜12ヶ月）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施策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優先度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オーナー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概算コスト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ステータス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ゼロトラストネットワーク構築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SIEM導入（集中ログ管理）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データ分類とDLPの展開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EDR導入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計画中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ベンダーセキュリティ評価プログラム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計画中</w:t>
            </w:r>
          </w:p>
        </w:tc>
      </w:tr>
    </w:tbl>
    <w:p>
      <w:pPr>
        <w:pStyle w:val="Heading2"/>
      </w:pPr>
      <w:r>
        <w:rPr>
          <w:color w:val="2E74B5"/>
        </w:rPr>
        <w:t>4. メトリクスと報告体制</w:t>
      </w:r>
    </w:p>
    <w:p>
      <w:pPr>
        <w:pStyle w:val="Heading3"/>
      </w:pPr>
      <w:r>
        <w:rPr>
          <w:color w:val="2E74B5"/>
        </w:rPr>
        <w:t>セキュリティKPI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KPI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現在値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目標（6ヶ月後）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目標（12ヶ月後）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測定方法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平均検知時間（MTTD）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SIEMダッシュボード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平均対応時間（MTTR）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インシデントチケット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パッチ適用率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脆弱性スキャン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フィッシング失敗率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社内訓練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MFA適用率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IAMダッシュボード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重大インシデント件数（四半期）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インシデントログ</w:t>
            </w:r>
          </w:p>
        </w:tc>
      </w:tr>
    </w:tbl>
    <w:p/>
    <w:p>
      <w:pPr>
        <w:pStyle w:val="Heading3"/>
      </w:pPr>
      <w:r>
        <w:rPr>
          <w:color w:val="2E74B5"/>
        </w:rPr>
        <w:t>報告サイクル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レポート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対象者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頻度</w:t>
            </w:r>
          </w:p>
        </w:tc>
      </w:tr>
      <w:tr>
        <w:tc>
          <w:tcPr>
            <w:tcW w:type="dxa" w:w="3402"/>
          </w:tcPr>
          <w:p>
            <w:r>
              <w:rPr>
                <w:sz w:val="20"/>
              </w:rPr>
              <w:t>セキュリティ運用ダッシュボード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セキュリティチーム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日次</w:t>
            </w:r>
          </w:p>
        </w:tc>
      </w:tr>
      <w:tr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インシデントサマリー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CISO・セキュリティリード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週次</w:t>
            </w:r>
          </w:p>
        </w:tc>
      </w:tr>
      <w:tr>
        <w:tc>
          <w:tcPr>
            <w:tcW w:type="dxa" w:w="3402"/>
          </w:tcPr>
          <w:p>
            <w:r>
              <w:rPr>
                <w:sz w:val="20"/>
              </w:rPr>
              <w:t>リスク・KPIレポート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CISO・CTO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月次</w:t>
            </w:r>
          </w:p>
        </w:tc>
      </w:tr>
      <w:tr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経営幹部向けセキュリティ報告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取締役会・CEO・CFO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四半期</w:t>
            </w:r>
          </w:p>
        </w:tc>
      </w:tr>
      <w:tr>
        <w:tc>
          <w:tcPr>
            <w:tcW w:type="dxa" w:w="3402"/>
          </w:tcPr>
          <w:p>
            <w:r>
              <w:rPr>
                <w:sz w:val="20"/>
              </w:rPr>
              <w:t>年次セキュリティレビュー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全ステークホルダー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年次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