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ベンダー管理計画書</w:t>
      </w:r>
    </w:p>
    <w:p>
      <w:pPr>
        <w:pStyle w:val="Heading1"/>
      </w:pPr>
      <w:r>
        <w:rPr>
          <w:color w:val="2E74B5"/>
        </w:rPr>
        <w:t>基本情報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項目</w:t>
            </w:r>
          </w:p>
        </w:tc>
        <w:tc>
          <w:tcPr>
            <w:tcW w:type="dxa" w:w="6236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内容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プロジェクト名</w:t>
            </w:r>
          </w:p>
        </w:tc>
        <w:tc>
          <w:tcPr>
            <w:tcW w:type="dxa" w:w="62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作成者</w:t>
            </w:r>
          </w:p>
        </w:tc>
        <w:tc>
          <w:tcPr>
            <w:tcW w:type="dxa" w:w="6236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作成日</w:t>
            </w:r>
          </w:p>
        </w:tc>
        <w:tc>
          <w:tcPr>
            <w:tcW w:type="dxa" w:w="62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バージョン</w:t>
            </w:r>
          </w:p>
        </w:tc>
        <w:tc>
          <w:tcPr>
            <w:tcW w:type="dxa" w:w="6236"/>
            <w:shd w:val="clear" w:color="auto" w:fill="DEEAF1"/>
          </w:tcPr>
          <w:p>
            <w:r>
              <w:rPr>
                <w:sz w:val="20"/>
              </w:rPr>
              <w:t>v1.0</w:t>
            </w:r>
          </w:p>
        </w:tc>
      </w:tr>
    </w:tbl>
    <w:p/>
    <w:p>
      <w:pPr>
        <w:pStyle w:val="Heading1"/>
      </w:pPr>
      <w:r>
        <w:rPr>
          <w:color w:val="2E74B5"/>
        </w:rPr>
        <w:t>ベンダー選定方針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評価項目</w:t>
            </w:r>
          </w:p>
        </w:tc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重み</w:t>
            </w:r>
          </w:p>
        </w:tc>
        <w:tc>
          <w:tcPr>
            <w:tcW w:type="dxa" w:w="5102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評価方法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技術力・実績</w:t>
            </w:r>
          </w:p>
        </w:tc>
        <w:tc>
          <w:tcPr>
            <w:tcW w:type="dxa" w:w="1134"/>
          </w:tcPr>
          <w:p>
            <w:r>
              <w:rPr>
                <w:sz w:val="20"/>
              </w:rPr>
              <w:t>30%</w:t>
            </w:r>
          </w:p>
        </w:tc>
        <w:tc>
          <w:tcPr>
            <w:tcW w:type="dxa" w:w="5102"/>
          </w:tcPr>
          <w:p>
            <w:r>
              <w:rPr>
                <w:sz w:val="20"/>
              </w:rPr>
              <w:t>過去案件の実績・参照先インタビュー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価格・コスト</w:t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25%</w:t>
            </w:r>
          </w:p>
        </w:tc>
        <w:tc>
          <w:tcPr>
            <w:tcW w:type="dxa" w:w="5102"/>
            <w:shd w:val="clear" w:color="auto" w:fill="DEEAF1"/>
          </w:tcPr>
          <w:p>
            <w:r>
              <w:rPr>
                <w:sz w:val="20"/>
              </w:rPr>
              <w:t>見積もり比較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納期遵守能力</w:t>
            </w:r>
          </w:p>
        </w:tc>
        <w:tc>
          <w:tcPr>
            <w:tcW w:type="dxa" w:w="1134"/>
          </w:tcPr>
          <w:p>
            <w:r>
              <w:rPr>
                <w:sz w:val="20"/>
              </w:rPr>
              <w:t>20%</w:t>
            </w:r>
          </w:p>
        </w:tc>
        <w:tc>
          <w:tcPr>
            <w:tcW w:type="dxa" w:w="5102"/>
          </w:tcPr>
          <w:p>
            <w:r>
              <w:rPr>
                <w:sz w:val="20"/>
              </w:rPr>
              <w:t>過去の納期実績・体制確認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コミュニケーション能力</w:t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15%</w:t>
            </w:r>
          </w:p>
        </w:tc>
        <w:tc>
          <w:tcPr>
            <w:tcW w:type="dxa" w:w="5102"/>
            <w:shd w:val="clear" w:color="auto" w:fill="DEEAF1"/>
          </w:tcPr>
          <w:p>
            <w:r>
              <w:rPr>
                <w:sz w:val="20"/>
              </w:rPr>
              <w:t>提案プレゼン・英語対応力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セキュリティ・コンプライアンス</w:t>
            </w:r>
          </w:p>
        </w:tc>
        <w:tc>
          <w:tcPr>
            <w:tcW w:type="dxa" w:w="1134"/>
          </w:tcPr>
          <w:p>
            <w:r>
              <w:rPr>
                <w:sz w:val="20"/>
              </w:rPr>
              <w:t>10%</w:t>
            </w:r>
          </w:p>
        </w:tc>
        <w:tc>
          <w:tcPr>
            <w:tcW w:type="dxa" w:w="5102"/>
          </w:tcPr>
          <w:p>
            <w:r>
              <w:rPr>
                <w:sz w:val="20"/>
              </w:rPr>
              <w:t>認証取得状況・情報セキュリティポリシー確認</w:t>
            </w:r>
          </w:p>
        </w:tc>
      </w:tr>
    </w:tbl>
    <w:p/>
    <w:p>
      <w:pPr>
        <w:pStyle w:val="Heading1"/>
      </w:pPr>
      <w:r>
        <w:rPr>
          <w:color w:val="2E74B5"/>
        </w:rPr>
        <w:t>主要ベンダー一覧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ベンダー名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役割</w:t>
            </w:r>
          </w:p>
        </w:tc>
        <w:tc>
          <w:tcPr>
            <w:tcW w:type="dxa" w:w="1417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契約形態</w:t>
            </w:r>
          </w:p>
        </w:tc>
        <w:tc>
          <w:tcPr>
            <w:tcW w:type="dxa" w:w="1417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契約金額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契約期間</w:t>
            </w:r>
          </w:p>
        </w:tc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窓口担当</w:t>
            </w:r>
          </w:p>
        </w:tc>
      </w:tr>
      <w:tr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417"/>
          </w:tcPr>
          <w:p>
            <w:r>
              <w:rPr>
                <w:sz w:val="20"/>
              </w:rPr>
            </w:r>
          </w:p>
        </w:tc>
        <w:tc>
          <w:tcPr>
            <w:tcW w:type="dxa" w:w="1417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417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417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</w:r>
          </w:p>
        </w:tc>
      </w:tr>
    </w:tbl>
    <w:p/>
    <w:p>
      <w:pPr>
        <w:pStyle w:val="Heading1"/>
      </w:pPr>
      <w:r>
        <w:rPr>
          <w:color w:val="2E74B5"/>
        </w:rPr>
        <w:t>KPI一覧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KPI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目標値</w:t>
            </w:r>
          </w:p>
        </w:tc>
        <w:tc>
          <w:tcPr>
            <w:tcW w:type="dxa" w:w="3402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測定方法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測定頻度</w:t>
            </w:r>
          </w:p>
        </w:tc>
      </w:tr>
      <w:tr>
        <w:tc>
          <w:tcPr>
            <w:tcW w:type="dxa" w:w="1701"/>
          </w:tcPr>
          <w:p>
            <w:r>
              <w:rPr>
                <w:sz w:val="20"/>
              </w:rPr>
              <w:t>納期遵守率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  <w:t>95%以上</w:t>
            </w:r>
          </w:p>
        </w:tc>
        <w:tc>
          <w:tcPr>
            <w:tcW w:type="dxa" w:w="3402"/>
          </w:tcPr>
          <w:p>
            <w:r>
              <w:rPr>
                <w:sz w:val="20"/>
              </w:rPr>
              <w:t>納品物の期日遵守実績を集計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月次</w:t>
            </w:r>
          </w:p>
        </w:tc>
      </w:tr>
      <w:tr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品質（バグ密度）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Critical/Highバグ：ゼロ</w:t>
            </w:r>
          </w:p>
        </w:tc>
        <w:tc>
          <w:tcPr>
            <w:tcW w:type="dxa" w:w="3402"/>
            <w:shd w:val="clear" w:color="auto" w:fill="DEEAF1"/>
          </w:tcPr>
          <w:p>
            <w:r>
              <w:rPr>
                <w:sz w:val="20"/>
              </w:rPr>
              <w:t>テスト結果レポートで確認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スプリント毎</w:t>
            </w:r>
          </w:p>
        </w:tc>
      </w:tr>
      <w:tr>
        <w:tc>
          <w:tcPr>
            <w:tcW w:type="dxa" w:w="1701"/>
          </w:tcPr>
          <w:p>
            <w:r>
              <w:rPr>
                <w:sz w:val="20"/>
              </w:rPr>
              <w:t>対応速度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  <w:t>初回返答：1営業日以内</w:t>
            </w:r>
          </w:p>
        </w:tc>
        <w:tc>
          <w:tcPr>
            <w:tcW w:type="dxa" w:w="3402"/>
          </w:tcPr>
          <w:p>
            <w:r>
              <w:rPr>
                <w:sz w:val="20"/>
              </w:rPr>
              <w:t>PM日誌で記録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随時</w:t>
            </w:r>
          </w:p>
        </w:tc>
      </w:tr>
    </w:tbl>
    <w:p/>
    <w:p>
      <w:pPr>
        <w:pStyle w:val="Heading1"/>
      </w:pPr>
      <w:r>
        <w:rPr>
          <w:color w:val="2E74B5"/>
        </w:rPr>
        <w:t>主要リスク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リスク</w:t>
            </w:r>
          </w:p>
        </w:tc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発生確率</w:t>
            </w:r>
          </w:p>
        </w:tc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影響度</w:t>
            </w:r>
          </w:p>
        </w:tc>
        <w:tc>
          <w:tcPr>
            <w:tcW w:type="dxa" w:w="5102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対応策</w:t>
            </w:r>
          </w:p>
        </w:tc>
      </w:tr>
      <w:tr>
        <w:tc>
          <w:tcPr>
            <w:tcW w:type="dxa" w:w="1701"/>
          </w:tcPr>
          <w:p>
            <w:r>
              <w:rPr>
                <w:sz w:val="20"/>
              </w:rPr>
              <w:t>納期遅延</w:t>
            </w:r>
          </w:p>
        </w:tc>
        <w:tc>
          <w:tcPr>
            <w:tcW w:type="dxa" w:w="1134"/>
          </w:tcPr>
          <w:p>
            <w:r>
              <w:rPr>
                <w:sz w:val="20"/>
              </w:rPr>
              <w:t>中</w:t>
            </w:r>
          </w:p>
        </w:tc>
        <w:tc>
          <w:tcPr>
            <w:tcW w:type="dxa" w:w="1134"/>
          </w:tcPr>
          <w:p>
            <w:r>
              <w:rPr>
                <w:sz w:val="20"/>
              </w:rPr>
              <w:t>高</w:t>
            </w:r>
          </w:p>
        </w:tc>
        <w:tc>
          <w:tcPr>
            <w:tcW w:type="dxa" w:w="5102"/>
          </w:tcPr>
          <w:p>
            <w:r>
              <w:rPr>
                <w:sz w:val="20"/>
              </w:rPr>
              <w:t>週次進捗確認・マイルストーン手前2週間で警告</w:t>
            </w:r>
          </w:p>
        </w:tc>
      </w:tr>
      <w:tr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品質問題</w:t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低</w:t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高</w:t>
            </w:r>
          </w:p>
        </w:tc>
        <w:tc>
          <w:tcPr>
            <w:tcW w:type="dxa" w:w="5102"/>
            <w:shd w:val="clear" w:color="auto" w:fill="DEEAF1"/>
          </w:tcPr>
          <w:p>
            <w:r>
              <w:rPr>
                <w:sz w:val="20"/>
              </w:rPr>
              <w:t>受入テスト基準を契約に明記</w:t>
            </w:r>
          </w:p>
        </w:tc>
      </w:tr>
      <w:tr>
        <w:tc>
          <w:tcPr>
            <w:tcW w:type="dxa" w:w="1701"/>
          </w:tcPr>
          <w:p>
            <w:r>
              <w:rPr>
                <w:sz w:val="20"/>
              </w:rPr>
              <w:t>ベンダー撤退・倒産</w:t>
            </w:r>
          </w:p>
        </w:tc>
        <w:tc>
          <w:tcPr>
            <w:tcW w:type="dxa" w:w="1134"/>
          </w:tcPr>
          <w:p>
            <w:r>
              <w:rPr>
                <w:sz w:val="20"/>
              </w:rPr>
              <w:t>低</w:t>
            </w:r>
          </w:p>
        </w:tc>
        <w:tc>
          <w:tcPr>
            <w:tcW w:type="dxa" w:w="1134"/>
          </w:tcPr>
          <w:p>
            <w:r>
              <w:rPr>
                <w:sz w:val="20"/>
              </w:rPr>
              <w:t>最高</w:t>
            </w:r>
          </w:p>
        </w:tc>
        <w:tc>
          <w:tcPr>
            <w:tcW w:type="dxa" w:w="5102"/>
          </w:tcPr>
          <w:p>
            <w:r>
              <w:rPr>
                <w:sz w:val="20"/>
              </w:rPr>
              <w:t>代替ベンダーリストの維持・ソースコードエスクロウ契約</w:t>
            </w:r>
          </w:p>
        </w:tc>
      </w:tr>
      <w:tr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情報漏洩</w:t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低</w:t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最高</w:t>
            </w:r>
          </w:p>
        </w:tc>
        <w:tc>
          <w:tcPr>
            <w:tcW w:type="dxa" w:w="5102"/>
            <w:shd w:val="clear" w:color="auto" w:fill="DEEAF1"/>
          </w:tcPr>
          <w:p>
            <w:r>
              <w:rPr>
                <w:sz w:val="20"/>
              </w:rPr>
              <w:t>NDA締結・アクセス権限の最小化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